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32E3" w14:textId="77777777" w:rsidR="00E803F5" w:rsidRPr="00ED5084" w:rsidRDefault="00E803F5" w:rsidP="00E803F5"/>
    <w:p w14:paraId="4482E8D6" w14:textId="77777777" w:rsidR="00E803F5" w:rsidRPr="00396155" w:rsidRDefault="00E803F5" w:rsidP="00E803F5"/>
    <w:p w14:paraId="6D2B2052" w14:textId="77777777" w:rsidR="00E803F5" w:rsidRDefault="00E803F5" w:rsidP="00E803F5">
      <w:bookmarkStart w:id="0" w:name="_Toc444784424"/>
      <w:bookmarkStart w:id="1" w:name="_Toc444850705"/>
    </w:p>
    <w:p w14:paraId="2A83EE0A" w14:textId="77777777" w:rsidR="00E803F5" w:rsidRDefault="00E803F5" w:rsidP="00E803F5"/>
    <w:p w14:paraId="224FC00A" w14:textId="77777777" w:rsidR="00E803F5" w:rsidRDefault="00E803F5" w:rsidP="00E803F5"/>
    <w:p w14:paraId="68870145" w14:textId="4F03E3C2" w:rsidR="00E803F5" w:rsidRPr="000B3DAE" w:rsidRDefault="00D45B43" w:rsidP="000B3DAE">
      <w:pPr>
        <w:pStyle w:val="Title"/>
      </w:pPr>
      <w:bookmarkStart w:id="2" w:name="_Toc444864484"/>
      <w:bookmarkStart w:id="3" w:name="_Toc444865608"/>
      <w:bookmarkStart w:id="4" w:name="_Toc445112549"/>
      <w:bookmarkStart w:id="5" w:name="_Toc445116875"/>
      <w:bookmarkStart w:id="6" w:name="_Toc464647854"/>
      <w:bookmarkStart w:id="7" w:name="_Toc466448738"/>
      <w:r>
        <w:t>Consultation</w:t>
      </w:r>
      <w:r w:rsidR="00E803F5" w:rsidRPr="000B3DAE">
        <w:t xml:space="preserve"> paper</w:t>
      </w:r>
      <w:bookmarkEnd w:id="0"/>
      <w:bookmarkEnd w:id="1"/>
      <w:bookmarkEnd w:id="2"/>
      <w:bookmarkEnd w:id="3"/>
      <w:bookmarkEnd w:id="4"/>
      <w:bookmarkEnd w:id="5"/>
      <w:bookmarkEnd w:id="6"/>
      <w:bookmarkEnd w:id="7"/>
    </w:p>
    <w:p w14:paraId="1E489267" w14:textId="77777777" w:rsidR="00E803F5" w:rsidRPr="00C45972" w:rsidRDefault="00E803F5" w:rsidP="00E803F5">
      <w:pPr>
        <w:pStyle w:val="LineTeal"/>
      </w:pPr>
    </w:p>
    <w:bookmarkStart w:id="8" w:name="_Toc444004178"/>
    <w:bookmarkStart w:id="9" w:name="_Toc444074303"/>
    <w:bookmarkStart w:id="10" w:name="_Toc444094635"/>
    <w:bookmarkStart w:id="11" w:name="_Toc444784425"/>
    <w:bookmarkStart w:id="12" w:name="_Toc444850706"/>
    <w:bookmarkStart w:id="13" w:name="_Toc444864485"/>
    <w:bookmarkStart w:id="14" w:name="_Toc444865609"/>
    <w:bookmarkStart w:id="15" w:name="_Toc445112550"/>
    <w:bookmarkStart w:id="16" w:name="_Toc445116876"/>
    <w:bookmarkStart w:id="17" w:name="_Toc464647855"/>
    <w:bookmarkStart w:id="18" w:name="_Toc466448739"/>
    <w:p w14:paraId="61254731" w14:textId="7B024F68" w:rsidR="00E803F5" w:rsidRDefault="0074633B" w:rsidP="000B3DAE">
      <w:pPr>
        <w:pStyle w:val="Subtitle"/>
      </w:pPr>
      <w:sdt>
        <w:sdtPr>
          <w:alias w:val="Title"/>
          <w:tag w:val=""/>
          <w:id w:val="1281223025"/>
          <w:placeholder>
            <w:docPart w:val="9DAFFBFF0853450F844E65A9A206E82A"/>
          </w:placeholder>
          <w:dataBinding w:prefixMappings="xmlns:ns0='http://purl.org/dc/elements/1.1/' xmlns:ns1='http://schemas.openxmlformats.org/package/2006/metadata/core-properties' " w:xpath="/ns1:coreProperties[1]/ns0:title[1]" w:storeItemID="{6C3C8BC8-F283-45AE-878A-BAB7291924A1}"/>
          <w:text/>
        </w:sdtPr>
        <w:sdtEndPr/>
        <w:sdtContent>
          <w:r w:rsidR="008062E6">
            <w:t>New Zealand Grocery Code of Conduct</w:t>
          </w:r>
        </w:sdtContent>
      </w:sdt>
      <w:bookmarkEnd w:id="8"/>
      <w:bookmarkEnd w:id="9"/>
      <w:bookmarkEnd w:id="10"/>
      <w:bookmarkEnd w:id="11"/>
      <w:bookmarkEnd w:id="12"/>
      <w:bookmarkEnd w:id="13"/>
      <w:bookmarkEnd w:id="14"/>
      <w:bookmarkEnd w:id="15"/>
      <w:bookmarkEnd w:id="16"/>
      <w:bookmarkEnd w:id="17"/>
      <w:bookmarkEnd w:id="18"/>
    </w:p>
    <w:p w14:paraId="6E291178" w14:textId="0D910983" w:rsidR="00093A77" w:rsidRPr="00093A77" w:rsidRDefault="00093A77" w:rsidP="000B3DAE">
      <w:pPr>
        <w:sectPr w:rsidR="00093A77" w:rsidRPr="00093A77" w:rsidSect="005F4672">
          <w:headerReference w:type="default" r:id="rId8"/>
          <w:footerReference w:type="default" r:id="rId9"/>
          <w:headerReference w:type="first" r:id="rId10"/>
          <w:pgSz w:w="11906" w:h="16838"/>
          <w:pgMar w:top="1440" w:right="1440" w:bottom="1440" w:left="1440" w:header="708" w:footer="708" w:gutter="0"/>
          <w:cols w:space="708"/>
          <w:titlePg/>
          <w:docGrid w:linePitch="360"/>
        </w:sectPr>
      </w:pPr>
      <w:r>
        <w:fldChar w:fldCharType="begin"/>
      </w:r>
      <w:r>
        <w:instrText xml:space="preserve"> SAVEDATE  \@ "MMMM yyyy"  \* MERGEFORMAT </w:instrText>
      </w:r>
      <w:r>
        <w:fldChar w:fldCharType="separate"/>
      </w:r>
      <w:r w:rsidR="000C66A2">
        <w:rPr>
          <w:noProof/>
        </w:rPr>
        <w:t>July 2022</w:t>
      </w:r>
      <w:r>
        <w:fldChar w:fldCharType="end"/>
      </w:r>
    </w:p>
    <w:p w14:paraId="38900D4C" w14:textId="77777777" w:rsidR="00433A7C" w:rsidRDefault="00433A7C" w:rsidP="00433A7C">
      <w:pPr>
        <w:pStyle w:val="Heading3"/>
      </w:pPr>
      <w:r>
        <w:lastRenderedPageBreak/>
        <w:t>Permission to reproduce</w:t>
      </w:r>
    </w:p>
    <w:p w14:paraId="095AFB3F" w14:textId="77777777" w:rsidR="00433A7C" w:rsidRDefault="00433A7C" w:rsidP="000D3B6D">
      <w:r>
        <w:rPr>
          <w:noProof/>
          <w:lang w:eastAsia="en-NZ"/>
        </w:rPr>
        <w:drawing>
          <wp:inline distT="0" distB="0" distL="0" distR="0" wp14:anchorId="43E71441" wp14:editId="1300E366">
            <wp:extent cx="1143405" cy="400050"/>
            <wp:effectExtent l="0" t="0" r="0" b="0"/>
            <wp:docPr id="7" name="Picture 7" descr="http://mirrors.creativecommons.org/presskit/buttons/88x31/png/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rrors.creativecommons.org/presskit/buttons/88x31/png/b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405" cy="400050"/>
                    </a:xfrm>
                    <a:prstGeom prst="rect">
                      <a:avLst/>
                    </a:prstGeom>
                    <a:noFill/>
                    <a:ln>
                      <a:noFill/>
                    </a:ln>
                  </pic:spPr>
                </pic:pic>
              </a:graphicData>
            </a:graphic>
          </wp:inline>
        </w:drawing>
      </w:r>
    </w:p>
    <w:p w14:paraId="0265632D" w14:textId="77777777" w:rsidR="00433A7C" w:rsidRDefault="00433A7C" w:rsidP="000D3B6D">
      <w:r>
        <w:t>Crown Copyright ©</w:t>
      </w:r>
    </w:p>
    <w:p w14:paraId="069A6D2C" w14:textId="77777777" w:rsidR="00433A7C" w:rsidRPr="000B06CB" w:rsidRDefault="00433A7C" w:rsidP="000D3B6D">
      <w:r w:rsidRPr="00C103D0">
        <w:t xml:space="preserve">This work is licensed under the Creative Commons Attribution 4.0 International License. To view a copy of this license, visit </w:t>
      </w:r>
      <w:hyperlink r:id="rId12" w:history="1">
        <w:r w:rsidRPr="009E7878">
          <w:rPr>
            <w:rStyle w:val="Hyperlink"/>
            <w:rFonts w:asciiTheme="minorHAnsi" w:hAnsiTheme="minorHAnsi"/>
          </w:rPr>
          <w:t>http://creativecommons.org/licenses/by/4.0/</w:t>
        </w:r>
      </w:hyperlink>
      <w:r w:rsidRPr="00C103D0">
        <w:t>.</w:t>
      </w:r>
    </w:p>
    <w:p w14:paraId="6D5AF0D3" w14:textId="77777777" w:rsidR="00433A7C" w:rsidRDefault="00433A7C" w:rsidP="00433A7C">
      <w:pPr>
        <w:pStyle w:val="Heading3"/>
      </w:pPr>
      <w:r>
        <w:t>Important notice</w:t>
      </w:r>
    </w:p>
    <w:p w14:paraId="54D5B631" w14:textId="49D26DF7" w:rsidR="00433A7C" w:rsidRPr="00433A7C" w:rsidRDefault="004F0844" w:rsidP="00433A7C">
      <w:r w:rsidRPr="004F0844">
        <w:t>The opinions contained in this document are those of the Ministry of Business, Innovation and Employment and</w:t>
      </w:r>
      <w:r>
        <w:t xml:space="preserve"> </w:t>
      </w:r>
      <w:r w:rsidRPr="004F0844">
        <w:t>do not reflect official Government policy. Readers are advised to seek specific legal advice from a qualified professional person before undertaking any action in reliance on the contents of this publication. The contents of this discussion paper must not be construed as legal advice. The Ministry does not accept any responsibility or liability whatsoever whether in contract, tort, equity or otherwise for any action taken as a result of reading, or reliance placed on the Ministry because of having read, any part, or all, of the information in this discussion paper or for any error, inadequacy, deficiency, flaw in or omission from the discussion paper.</w:t>
      </w:r>
    </w:p>
    <w:p w14:paraId="25BB67EB" w14:textId="77777777" w:rsidR="00433A7C" w:rsidRDefault="00433A7C" w:rsidP="00433A7C"/>
    <w:p w14:paraId="218E6E5A" w14:textId="77777777" w:rsidR="004F0844" w:rsidRDefault="004F0844" w:rsidP="00433A7C"/>
    <w:p w14:paraId="702C2D36" w14:textId="660C1568" w:rsidR="00433A7C" w:rsidRDefault="00433A7C" w:rsidP="00433A7C">
      <w:pPr>
        <w:rPr>
          <w:lang w:eastAsia="en-US"/>
        </w:rPr>
        <w:sectPr w:rsidR="00433A7C" w:rsidSect="00E222F4">
          <w:headerReference w:type="default" r:id="rId13"/>
          <w:footerReference w:type="default" r:id="rId14"/>
          <w:pgSz w:w="11906" w:h="16838" w:code="9"/>
          <w:pgMar w:top="1418" w:right="1418" w:bottom="1418" w:left="1418" w:header="567" w:footer="567" w:gutter="0"/>
          <w:cols w:space="708"/>
          <w:docGrid w:linePitch="360"/>
        </w:sectPr>
      </w:pPr>
    </w:p>
    <w:p w14:paraId="555BE324" w14:textId="063A4BC0" w:rsidR="00E803F5" w:rsidRPr="00AC78EE" w:rsidRDefault="00E803F5" w:rsidP="00AC78EE">
      <w:pPr>
        <w:rPr>
          <w:rFonts w:asciiTheme="majorHAnsi" w:hAnsiTheme="majorHAnsi" w:cstheme="majorHAnsi"/>
          <w:color w:val="006272" w:themeColor="text2"/>
          <w:sz w:val="28"/>
          <w:szCs w:val="28"/>
        </w:rPr>
      </w:pPr>
      <w:r w:rsidRPr="00AC78EE">
        <w:rPr>
          <w:rFonts w:asciiTheme="majorHAnsi" w:hAnsiTheme="majorHAnsi" w:cstheme="majorHAnsi"/>
          <w:color w:val="006272" w:themeColor="text2"/>
          <w:sz w:val="28"/>
          <w:szCs w:val="28"/>
        </w:rPr>
        <w:lastRenderedPageBreak/>
        <w:t>How to have your say</w:t>
      </w:r>
    </w:p>
    <w:p w14:paraId="4125CD85" w14:textId="77777777" w:rsidR="00E803F5" w:rsidRPr="006238BD" w:rsidRDefault="00E803F5" w:rsidP="00E803F5">
      <w:pPr>
        <w:pStyle w:val="LineTeal"/>
      </w:pPr>
    </w:p>
    <w:p w14:paraId="624A414E" w14:textId="77777777" w:rsidR="00E803F5" w:rsidRDefault="00E803F5" w:rsidP="008C16BD">
      <w:pPr>
        <w:pStyle w:val="Heading2-Hiddenfromcontents"/>
      </w:pPr>
      <w:r>
        <w:t>Submissions process</w:t>
      </w:r>
    </w:p>
    <w:p w14:paraId="55B82CF2" w14:textId="4B0E56A6" w:rsidR="00FB117B" w:rsidRDefault="00FB117B" w:rsidP="000D3B6D">
      <w:r>
        <w:t>The Ministry of Business, Innovation and Employment (</w:t>
      </w:r>
      <w:r w:rsidRPr="00CA1C7F">
        <w:rPr>
          <w:b/>
        </w:rPr>
        <w:t>MBIE</w:t>
      </w:r>
      <w:r>
        <w:t xml:space="preserve">) seeks written submissions on the issues raised in this </w:t>
      </w:r>
      <w:r w:rsidR="00D45B43">
        <w:t>consultation</w:t>
      </w:r>
      <w:r w:rsidR="00517D8C">
        <w:t xml:space="preserve"> paper</w:t>
      </w:r>
      <w:r>
        <w:t xml:space="preserve"> by 5pm on </w:t>
      </w:r>
      <w:r w:rsidR="00273E25" w:rsidRPr="005C53AC">
        <w:rPr>
          <w:b/>
          <w:bCs/>
        </w:rPr>
        <w:t>10 August 2022</w:t>
      </w:r>
      <w:r w:rsidRPr="00BC6DD4">
        <w:t>.</w:t>
      </w:r>
    </w:p>
    <w:p w14:paraId="15A11110" w14:textId="5C6DF958" w:rsidR="00FB117B" w:rsidRDefault="00FB117B" w:rsidP="000D3B6D">
      <w:r>
        <w:t>Your submission may respond to any or all of these issues. Where possible, please include evidence to support your views</w:t>
      </w:r>
      <w:r w:rsidR="00517D8C">
        <w:t>.</w:t>
      </w:r>
      <w:r>
        <w:t xml:space="preserve"> </w:t>
      </w:r>
      <w:r w:rsidR="00517D8C">
        <w:t>F</w:t>
      </w:r>
      <w:r>
        <w:t>or example</w:t>
      </w:r>
      <w:r w:rsidR="00517D8C">
        <w:t>, please include</w:t>
      </w:r>
      <w:r>
        <w:t xml:space="preserve"> references to independent research, facts and figures, or relevant examples.</w:t>
      </w:r>
    </w:p>
    <w:p w14:paraId="436DF87C" w14:textId="0F07F7F0" w:rsidR="004B00E4" w:rsidRDefault="004B00E4" w:rsidP="004B00E4">
      <w:r>
        <w:t xml:space="preserve">Please use the submission template provided </w:t>
      </w:r>
      <w:r w:rsidR="005C53AC">
        <w:t xml:space="preserve">at: </w:t>
      </w:r>
      <w:hyperlink r:id="rId15" w:history="1">
        <w:r w:rsidR="005C53AC" w:rsidRPr="00DA3964">
          <w:rPr>
            <w:rStyle w:val="Hyperlink"/>
            <w:rFonts w:asciiTheme="minorHAnsi" w:hAnsiTheme="minorHAnsi"/>
            <w:bCs/>
            <w:iCs/>
          </w:rPr>
          <w:t>https://www.mbie.govt.nz/have-your-say/grocery-code-of-conduct/</w:t>
        </w:r>
      </w:hyperlink>
      <w:r w:rsidR="005C53AC">
        <w:t xml:space="preserve">. This </w:t>
      </w:r>
      <w:r>
        <w:t xml:space="preserve">will help us to collate </w:t>
      </w:r>
      <w:r w:rsidRPr="00F70216">
        <w:t>submissions and</w:t>
      </w:r>
      <w:r>
        <w:t xml:space="preserve"> ensure that your views are fully considered. Please also include your name and (if applicable) the name of your organisation in your submission.</w:t>
      </w:r>
    </w:p>
    <w:p w14:paraId="456C4718" w14:textId="02039511" w:rsidR="00FB117B" w:rsidRPr="00C53A14" w:rsidRDefault="00FB117B" w:rsidP="000D3B6D">
      <w:r>
        <w:t>Please include your contact details in</w:t>
      </w:r>
      <w:r w:rsidRPr="00111541">
        <w:t xml:space="preserve"> </w:t>
      </w:r>
      <w:r w:rsidRPr="00A74303">
        <w:t>the cover letter or email a</w:t>
      </w:r>
      <w:r w:rsidRPr="00C53A14">
        <w:t>ccompanying your submission.</w:t>
      </w:r>
    </w:p>
    <w:p w14:paraId="65F02CD9" w14:textId="77777777" w:rsidR="00E803F5" w:rsidRDefault="00E803F5" w:rsidP="000D3B6D">
      <w:r>
        <w:t>You can make your submission</w:t>
      </w:r>
      <w:r w:rsidR="003321C9">
        <w:t xml:space="preserve"> by</w:t>
      </w:r>
      <w:r>
        <w:t>:</w:t>
      </w:r>
    </w:p>
    <w:p w14:paraId="49F56576" w14:textId="1DE520AD" w:rsidR="00E803F5" w:rsidRDefault="00E803F5" w:rsidP="00253F40">
      <w:pPr>
        <w:pStyle w:val="Bullets"/>
      </w:pPr>
      <w:r>
        <w:t xml:space="preserve">sending your submission as a Microsoft Word document </w:t>
      </w:r>
      <w:bookmarkStart w:id="19" w:name="_Hlk107575802"/>
      <w:r>
        <w:t xml:space="preserve">to </w:t>
      </w:r>
      <w:hyperlink r:id="rId16" w:history="1">
        <w:r w:rsidR="00303AEB" w:rsidRPr="00CA1C7F">
          <w:rPr>
            <w:rStyle w:val="Hyperlink"/>
          </w:rPr>
          <w:t>competition.policy@mbie.govt.nz</w:t>
        </w:r>
      </w:hyperlink>
      <w:r w:rsidR="00B148BA">
        <w:t xml:space="preserve"> with the subject line “Grocery Code of Conduct Consultation 2022”</w:t>
      </w:r>
    </w:p>
    <w:bookmarkEnd w:id="19"/>
    <w:p w14:paraId="040F0FC5" w14:textId="77777777" w:rsidR="00B148BA" w:rsidRDefault="00B148BA" w:rsidP="00B148BA">
      <w:pPr>
        <w:pStyle w:val="Bullets"/>
        <w:numPr>
          <w:ilvl w:val="0"/>
          <w:numId w:val="0"/>
        </w:numPr>
        <w:ind w:left="357"/>
      </w:pPr>
    </w:p>
    <w:p w14:paraId="66423788" w14:textId="77777777" w:rsidR="00E803F5" w:rsidRDefault="00E803F5" w:rsidP="00253F40">
      <w:pPr>
        <w:pStyle w:val="Bullets"/>
      </w:pPr>
      <w:r>
        <w:t>mailing your submission to:</w:t>
      </w:r>
    </w:p>
    <w:p w14:paraId="15594A2E" w14:textId="277690DF" w:rsidR="00E803F5" w:rsidRDefault="00303AEB" w:rsidP="00CA1C7F">
      <w:pPr>
        <w:spacing w:after="0"/>
        <w:ind w:left="357"/>
      </w:pPr>
      <w:r w:rsidRPr="00CA1C7F">
        <w:t>Competition Policy</w:t>
      </w:r>
      <w:r w:rsidR="00E803F5">
        <w:br/>
        <w:t>Building, Resources and Markets</w:t>
      </w:r>
      <w:r w:rsidR="00E803F5">
        <w:br/>
      </w:r>
      <w:r w:rsidR="00E803F5" w:rsidRPr="006238BD">
        <w:t>Ministry of Bu</w:t>
      </w:r>
      <w:r w:rsidR="00E803F5">
        <w:t>siness, Innovation &amp; Employment</w:t>
      </w:r>
      <w:r w:rsidR="00E803F5">
        <w:br/>
        <w:t>PO Box 1473</w:t>
      </w:r>
    </w:p>
    <w:p w14:paraId="1D7F7E29" w14:textId="77777777" w:rsidR="00E803F5" w:rsidRDefault="00E803F5" w:rsidP="003321C9">
      <w:pPr>
        <w:ind w:left="357"/>
      </w:pPr>
      <w:r>
        <w:t>Wellington 6140</w:t>
      </w:r>
      <w:r>
        <w:br/>
      </w:r>
      <w:r w:rsidRPr="006238BD">
        <w:t>New Zealand</w:t>
      </w:r>
    </w:p>
    <w:p w14:paraId="3F17AE41" w14:textId="0AA07396" w:rsidR="00E803F5" w:rsidRPr="006238BD" w:rsidRDefault="00E803F5" w:rsidP="00E803F5">
      <w:r w:rsidRPr="006238BD">
        <w:t>Please direct any questions that you have in relation to the submissions process to</w:t>
      </w:r>
      <w:r>
        <w:t xml:space="preserve"> </w:t>
      </w:r>
      <w:hyperlink r:id="rId17" w:history="1">
        <w:r w:rsidR="00303AEB" w:rsidRPr="00CA1C7F">
          <w:rPr>
            <w:rStyle w:val="Hyperlink"/>
          </w:rPr>
          <w:t>competition.policy@mbie.govt.nz</w:t>
        </w:r>
      </w:hyperlink>
      <w:r>
        <w:t>.</w:t>
      </w:r>
    </w:p>
    <w:p w14:paraId="0A84D8C5" w14:textId="77777777" w:rsidR="00E803F5" w:rsidRPr="00037EDF" w:rsidRDefault="00E803F5" w:rsidP="008C16BD">
      <w:pPr>
        <w:pStyle w:val="Heading2-Hiddenfromcontents"/>
      </w:pPr>
      <w:r>
        <w:t>Use of i</w:t>
      </w:r>
      <w:r w:rsidRPr="00037EDF">
        <w:t>nformation</w:t>
      </w:r>
    </w:p>
    <w:p w14:paraId="257CB949" w14:textId="2A8C949C" w:rsidR="00E803F5" w:rsidRDefault="00E803F5" w:rsidP="000D3B6D">
      <w:r>
        <w:t xml:space="preserve">The information provided in submissions will be used to inform MBIE’s policy development process and advice to Ministers on </w:t>
      </w:r>
      <w:r w:rsidR="00303AEB">
        <w:t>a Grocery Code of Conduct</w:t>
      </w:r>
      <w:r w:rsidR="00352FEB">
        <w:t xml:space="preserve"> for New Zealand</w:t>
      </w:r>
      <w:r>
        <w:t>.</w:t>
      </w:r>
      <w:r w:rsidR="00FB117B">
        <w:t xml:space="preserve"> </w:t>
      </w:r>
      <w:r>
        <w:t xml:space="preserve">We may contact submitters directly if we require clarification of any matters in submissions. </w:t>
      </w:r>
    </w:p>
    <w:p w14:paraId="72ABEC52" w14:textId="77777777" w:rsidR="00B148BA" w:rsidRDefault="00B148BA">
      <w:pPr>
        <w:rPr>
          <w:rFonts w:asciiTheme="majorHAnsi" w:hAnsiTheme="majorHAnsi"/>
          <w:color w:val="006272" w:themeColor="text2"/>
          <w:sz w:val="40"/>
        </w:rPr>
      </w:pPr>
      <w:bookmarkStart w:id="20" w:name="_Toc466388300"/>
      <w:bookmarkStart w:id="21" w:name="_Toc464647858"/>
      <w:r>
        <w:br w:type="page"/>
      </w:r>
    </w:p>
    <w:p w14:paraId="3CDCF671" w14:textId="351145B4" w:rsidR="00FB117B" w:rsidRPr="00037EDF" w:rsidRDefault="00FB117B" w:rsidP="008C16BD">
      <w:pPr>
        <w:pStyle w:val="Heading2-Hiddenfromcontents"/>
      </w:pPr>
      <w:r>
        <w:lastRenderedPageBreak/>
        <w:t>Release of information</w:t>
      </w:r>
      <w:bookmarkEnd w:id="20"/>
    </w:p>
    <w:p w14:paraId="03E72D7D" w14:textId="77777777" w:rsidR="00FB117B" w:rsidRDefault="00FB117B" w:rsidP="000D3B6D">
      <w:r>
        <w:t xml:space="preserve">MBIE intends to upload PDF copies of submissions received to MBIE’s website at </w:t>
      </w:r>
      <w:hyperlink r:id="rId18" w:history="1">
        <w:r w:rsidRPr="00BB4EAF">
          <w:t>www.mbie.govt.nz</w:t>
        </w:r>
      </w:hyperlink>
      <w:r>
        <w:t>. MBIE will consider you to have consented to uploading by making a submission, unless you clearly specify otherwise in your submission.</w:t>
      </w:r>
    </w:p>
    <w:p w14:paraId="56C8BF1E" w14:textId="77777777" w:rsidR="00FB117B" w:rsidRDefault="00FB117B" w:rsidP="000D3B6D">
      <w:r>
        <w:t>If your submission contains any information that is confidential or you otherwise wish us not to publish, please:</w:t>
      </w:r>
    </w:p>
    <w:p w14:paraId="6E58D044" w14:textId="77777777" w:rsidR="00FB117B" w:rsidRDefault="00FB117B" w:rsidP="00FB117B">
      <w:pPr>
        <w:pStyle w:val="Bullets"/>
      </w:pPr>
      <w:r>
        <w:t>indicate this on the front of the submission, with any confidential information clearly marked within the text</w:t>
      </w:r>
    </w:p>
    <w:p w14:paraId="603AAFE5" w14:textId="77777777" w:rsidR="00FB117B" w:rsidRDefault="00FB117B" w:rsidP="00FB117B">
      <w:pPr>
        <w:pStyle w:val="Bullets"/>
      </w:pPr>
      <w:r>
        <w:t>provide a separate version excluding the relevant information for publication on our website.</w:t>
      </w:r>
    </w:p>
    <w:p w14:paraId="467AD34F" w14:textId="629C02D7" w:rsidR="00FB117B" w:rsidRPr="00E7562D" w:rsidRDefault="00FB117B" w:rsidP="000D3B6D">
      <w:r w:rsidRPr="00E7562D">
        <w:t xml:space="preserve">Submissions </w:t>
      </w:r>
      <w:r>
        <w:t>remain</w:t>
      </w:r>
      <w:r w:rsidRPr="00E7562D">
        <w:t xml:space="preserve"> subject to </w:t>
      </w:r>
      <w:r>
        <w:t xml:space="preserve">request under </w:t>
      </w:r>
      <w:r w:rsidRPr="00E7562D">
        <w:t xml:space="preserve">the Official Information Act 1982. Please set out clearly </w:t>
      </w:r>
      <w:r>
        <w:t>in</w:t>
      </w:r>
      <w:r w:rsidRPr="00111541">
        <w:t xml:space="preserve"> </w:t>
      </w:r>
      <w:r w:rsidRPr="00A74303">
        <w:t xml:space="preserve">the cover letter or email accompanying </w:t>
      </w:r>
      <w:r>
        <w:t>your</w:t>
      </w:r>
      <w:r w:rsidRPr="00A74303">
        <w:t xml:space="preserve"> submission</w:t>
      </w:r>
      <w:r w:rsidRPr="00E7562D">
        <w:t xml:space="preserve"> if you have any objection to the release of any information in the submission, and in particular, which parts you consider should be withheld, together with the reasons for withholding the information. </w:t>
      </w:r>
      <w:r>
        <w:t>MBIE</w:t>
      </w:r>
      <w:r w:rsidRPr="00E7562D">
        <w:t xml:space="preserve"> will take such objections into account </w:t>
      </w:r>
      <w:r>
        <w:t xml:space="preserve">and will consult with submitters </w:t>
      </w:r>
      <w:r w:rsidRPr="00E7562D">
        <w:t>when responding to requests under the Official Information Act 1982.</w:t>
      </w:r>
    </w:p>
    <w:p w14:paraId="710965D9" w14:textId="77777777" w:rsidR="00FB117B" w:rsidRPr="00AC78EE" w:rsidRDefault="00FB117B" w:rsidP="00AC78EE">
      <w:pPr>
        <w:pStyle w:val="Heading2-Hiddenfromcontents"/>
        <w:rPr>
          <w:sz w:val="24"/>
          <w:szCs w:val="14"/>
        </w:rPr>
      </w:pPr>
      <w:r w:rsidRPr="00AC78EE">
        <w:rPr>
          <w:sz w:val="24"/>
          <w:szCs w:val="14"/>
        </w:rPr>
        <w:t>Private information</w:t>
      </w:r>
    </w:p>
    <w:p w14:paraId="1095221B" w14:textId="43B76CF5" w:rsidR="00FB117B" w:rsidRDefault="00FB117B" w:rsidP="000D3B6D">
      <w:pPr>
        <w:sectPr w:rsidR="00FB117B" w:rsidSect="00057083">
          <w:headerReference w:type="default" r:id="rId19"/>
          <w:footerReference w:type="default" r:id="rId20"/>
          <w:pgSz w:w="11906" w:h="16838" w:code="9"/>
          <w:pgMar w:top="1418" w:right="1418" w:bottom="1418" w:left="1418" w:header="567" w:footer="567" w:gutter="0"/>
          <w:cols w:space="708"/>
          <w:docGrid w:linePitch="360"/>
        </w:sectPr>
      </w:pPr>
      <w:r>
        <w:t xml:space="preserve">The Privacy Act </w:t>
      </w:r>
      <w:r w:rsidR="00352FEB">
        <w:t>2020</w:t>
      </w:r>
      <w:r>
        <w:t xml:space="preserve"> establishes certain principles with respect to the collection, use and disclosure of information about individuals by various agencies, including MBIE. Any personal information you supply to MBIE in the course of making a submission will only be used for the purpose of assisting in the development of policy advice in relation to this</w:t>
      </w:r>
      <w:r w:rsidRPr="00EA7170">
        <w:t xml:space="preserve"> </w:t>
      </w:r>
      <w:r>
        <w:t xml:space="preserve">review. </w:t>
      </w:r>
      <w:r w:rsidRPr="00111541">
        <w:t xml:space="preserve">Please clearly indicate </w:t>
      </w:r>
      <w:r>
        <w:t>in</w:t>
      </w:r>
      <w:r w:rsidRPr="00111541">
        <w:t xml:space="preserve"> </w:t>
      </w:r>
      <w:r w:rsidRPr="00A74303">
        <w:t xml:space="preserve">the cover letter or email accompanying </w:t>
      </w:r>
      <w:r>
        <w:t>your</w:t>
      </w:r>
      <w:r w:rsidRPr="00A74303">
        <w:t xml:space="preserve"> submission</w:t>
      </w:r>
      <w:r w:rsidRPr="00111541" w:rsidDel="002F4F60">
        <w:t xml:space="preserve"> </w:t>
      </w:r>
      <w:r w:rsidRPr="00111541">
        <w:t>if you do not wish your name</w:t>
      </w:r>
      <w:r>
        <w:t>, or any other personal information,</w:t>
      </w:r>
      <w:r w:rsidRPr="00111541">
        <w:t xml:space="preserve"> to be included in any summary of submissions that</w:t>
      </w:r>
      <w:r>
        <w:t xml:space="preserve"> MBIE</w:t>
      </w:r>
      <w:r w:rsidRPr="00111541">
        <w:t xml:space="preserve"> may publish.</w:t>
      </w:r>
    </w:p>
    <w:bookmarkEnd w:id="21"/>
    <w:p w14:paraId="5F6F2364" w14:textId="77777777" w:rsidR="00AC02D1" w:rsidRDefault="00AC02D1" w:rsidP="00AC02D1">
      <w:pPr>
        <w:pStyle w:val="Heading2-Hiddenfromcontents"/>
      </w:pPr>
      <w:r w:rsidRPr="005C3CCF">
        <w:lastRenderedPageBreak/>
        <w:t>Contents</w:t>
      </w:r>
    </w:p>
    <w:sdt>
      <w:sdtPr>
        <w:rPr>
          <w:b w:val="0"/>
        </w:rPr>
        <w:id w:val="952671488"/>
        <w:docPartObj>
          <w:docPartGallery w:val="Table of Contents"/>
          <w:docPartUnique/>
        </w:docPartObj>
      </w:sdtPr>
      <w:sdtEndPr>
        <w:rPr>
          <w:noProof/>
        </w:rPr>
      </w:sdtEndPr>
      <w:sdtContent>
        <w:p w14:paraId="41A0B30A" w14:textId="76C6AF55" w:rsidR="00C86CA7" w:rsidRDefault="00AC02D1">
          <w:pPr>
            <w:pStyle w:val="TOC1"/>
            <w:rPr>
              <w:b w:val="0"/>
              <w:noProof/>
              <w:lang w:eastAsia="en-NZ"/>
            </w:rPr>
          </w:pPr>
          <w:r>
            <w:rPr>
              <w:color w:val="FFFFFF" w:themeColor="background1"/>
            </w:rPr>
            <w:fldChar w:fldCharType="begin"/>
          </w:r>
          <w:r>
            <w:instrText xml:space="preserve"> TOC \o "1-2" \h \z \u </w:instrText>
          </w:r>
          <w:r>
            <w:rPr>
              <w:color w:val="FFFFFF" w:themeColor="background1"/>
            </w:rPr>
            <w:fldChar w:fldCharType="separate"/>
          </w:r>
          <w:hyperlink w:anchor="_Toc107919613" w:history="1">
            <w:r w:rsidR="00C86CA7" w:rsidRPr="00EC5C85">
              <w:rPr>
                <w:rStyle w:val="Hyperlink"/>
                <w:noProof/>
              </w:rPr>
              <w:t>1</w:t>
            </w:r>
            <w:r w:rsidR="00C86CA7">
              <w:rPr>
                <w:b w:val="0"/>
                <w:noProof/>
                <w:lang w:eastAsia="en-NZ"/>
              </w:rPr>
              <w:tab/>
            </w:r>
            <w:r w:rsidR="00C86CA7" w:rsidRPr="00EC5C85">
              <w:rPr>
                <w:rStyle w:val="Hyperlink"/>
                <w:noProof/>
              </w:rPr>
              <w:t>Background and context</w:t>
            </w:r>
            <w:r w:rsidR="00C86CA7">
              <w:rPr>
                <w:noProof/>
                <w:webHidden/>
              </w:rPr>
              <w:tab/>
            </w:r>
            <w:r w:rsidR="00C86CA7">
              <w:rPr>
                <w:noProof/>
                <w:webHidden/>
              </w:rPr>
              <w:fldChar w:fldCharType="begin"/>
            </w:r>
            <w:r w:rsidR="00C86CA7">
              <w:rPr>
                <w:noProof/>
                <w:webHidden/>
              </w:rPr>
              <w:instrText xml:space="preserve"> PAGEREF _Toc107919613 \h </w:instrText>
            </w:r>
            <w:r w:rsidR="00C86CA7">
              <w:rPr>
                <w:noProof/>
                <w:webHidden/>
              </w:rPr>
            </w:r>
            <w:r w:rsidR="00C86CA7">
              <w:rPr>
                <w:noProof/>
                <w:webHidden/>
              </w:rPr>
              <w:fldChar w:fldCharType="separate"/>
            </w:r>
            <w:r w:rsidR="008D0C1F">
              <w:rPr>
                <w:noProof/>
                <w:webHidden/>
              </w:rPr>
              <w:t>9</w:t>
            </w:r>
            <w:r w:rsidR="00C86CA7">
              <w:rPr>
                <w:noProof/>
                <w:webHidden/>
              </w:rPr>
              <w:fldChar w:fldCharType="end"/>
            </w:r>
          </w:hyperlink>
        </w:p>
        <w:p w14:paraId="4D016FFB" w14:textId="43AAB56A" w:rsidR="00C86CA7" w:rsidRDefault="0074633B">
          <w:pPr>
            <w:pStyle w:val="TOC2"/>
            <w:tabs>
              <w:tab w:val="left" w:pos="1100"/>
            </w:tabs>
            <w:rPr>
              <w:noProof/>
              <w:lang w:eastAsia="en-NZ"/>
            </w:rPr>
          </w:pPr>
          <w:hyperlink w:anchor="_Toc107919614" w:history="1">
            <w:r w:rsidR="00C86CA7" w:rsidRPr="00EC5C85">
              <w:rPr>
                <w:rStyle w:val="Hyperlink"/>
                <w:noProof/>
              </w:rPr>
              <w:t>1.1</w:t>
            </w:r>
            <w:r w:rsidR="00C86CA7">
              <w:rPr>
                <w:noProof/>
                <w:lang w:eastAsia="en-NZ"/>
              </w:rPr>
              <w:tab/>
            </w:r>
            <w:r w:rsidR="00C86CA7" w:rsidRPr="00EC5C85">
              <w:rPr>
                <w:rStyle w:val="Hyperlink"/>
                <w:noProof/>
              </w:rPr>
              <w:t>The market study into the retail grocery sector in New Zealand</w:t>
            </w:r>
            <w:r w:rsidR="00C86CA7">
              <w:rPr>
                <w:noProof/>
                <w:webHidden/>
              </w:rPr>
              <w:tab/>
            </w:r>
            <w:r w:rsidR="00C86CA7">
              <w:rPr>
                <w:noProof/>
                <w:webHidden/>
              </w:rPr>
              <w:fldChar w:fldCharType="begin"/>
            </w:r>
            <w:r w:rsidR="00C86CA7">
              <w:rPr>
                <w:noProof/>
                <w:webHidden/>
              </w:rPr>
              <w:instrText xml:space="preserve"> PAGEREF _Toc107919614 \h </w:instrText>
            </w:r>
            <w:r w:rsidR="00C86CA7">
              <w:rPr>
                <w:noProof/>
                <w:webHidden/>
              </w:rPr>
            </w:r>
            <w:r w:rsidR="00C86CA7">
              <w:rPr>
                <w:noProof/>
                <w:webHidden/>
              </w:rPr>
              <w:fldChar w:fldCharType="separate"/>
            </w:r>
            <w:r w:rsidR="008D0C1F">
              <w:rPr>
                <w:noProof/>
                <w:webHidden/>
              </w:rPr>
              <w:t>9</w:t>
            </w:r>
            <w:r w:rsidR="00C86CA7">
              <w:rPr>
                <w:noProof/>
                <w:webHidden/>
              </w:rPr>
              <w:fldChar w:fldCharType="end"/>
            </w:r>
          </w:hyperlink>
        </w:p>
        <w:p w14:paraId="4B31D8DC" w14:textId="6E7A15B7" w:rsidR="00C86CA7" w:rsidRDefault="0074633B">
          <w:pPr>
            <w:pStyle w:val="TOC2"/>
            <w:tabs>
              <w:tab w:val="left" w:pos="1100"/>
            </w:tabs>
            <w:rPr>
              <w:noProof/>
              <w:lang w:eastAsia="en-NZ"/>
            </w:rPr>
          </w:pPr>
          <w:hyperlink w:anchor="_Toc107919615" w:history="1">
            <w:r w:rsidR="00C86CA7" w:rsidRPr="00EC5C85">
              <w:rPr>
                <w:rStyle w:val="Hyperlink"/>
                <w:noProof/>
              </w:rPr>
              <w:t>1.2</w:t>
            </w:r>
            <w:r w:rsidR="00C86CA7">
              <w:rPr>
                <w:noProof/>
                <w:lang w:eastAsia="en-NZ"/>
              </w:rPr>
              <w:tab/>
            </w:r>
            <w:r w:rsidR="00C86CA7" w:rsidRPr="00EC5C85">
              <w:rPr>
                <w:rStyle w:val="Hyperlink"/>
                <w:noProof/>
              </w:rPr>
              <w:t>What a Code of Conduct could do</w:t>
            </w:r>
            <w:r w:rsidR="00C86CA7">
              <w:rPr>
                <w:noProof/>
                <w:webHidden/>
              </w:rPr>
              <w:tab/>
            </w:r>
            <w:r w:rsidR="00C86CA7">
              <w:rPr>
                <w:noProof/>
                <w:webHidden/>
              </w:rPr>
              <w:fldChar w:fldCharType="begin"/>
            </w:r>
            <w:r w:rsidR="00C86CA7">
              <w:rPr>
                <w:noProof/>
                <w:webHidden/>
              </w:rPr>
              <w:instrText xml:space="preserve"> PAGEREF _Toc107919615 \h </w:instrText>
            </w:r>
            <w:r w:rsidR="00C86CA7">
              <w:rPr>
                <w:noProof/>
                <w:webHidden/>
              </w:rPr>
            </w:r>
            <w:r w:rsidR="00C86CA7">
              <w:rPr>
                <w:noProof/>
                <w:webHidden/>
              </w:rPr>
              <w:fldChar w:fldCharType="separate"/>
            </w:r>
            <w:r w:rsidR="008D0C1F">
              <w:rPr>
                <w:noProof/>
                <w:webHidden/>
              </w:rPr>
              <w:t>9</w:t>
            </w:r>
            <w:r w:rsidR="00C86CA7">
              <w:rPr>
                <w:noProof/>
                <w:webHidden/>
              </w:rPr>
              <w:fldChar w:fldCharType="end"/>
            </w:r>
          </w:hyperlink>
        </w:p>
        <w:p w14:paraId="5259403F" w14:textId="7F54511E" w:rsidR="00C86CA7" w:rsidRDefault="0074633B">
          <w:pPr>
            <w:pStyle w:val="TOC1"/>
            <w:rPr>
              <w:b w:val="0"/>
              <w:noProof/>
              <w:lang w:eastAsia="en-NZ"/>
            </w:rPr>
          </w:pPr>
          <w:hyperlink w:anchor="_Toc107919616" w:history="1">
            <w:r w:rsidR="00C86CA7" w:rsidRPr="00EC5C85">
              <w:rPr>
                <w:rStyle w:val="Hyperlink"/>
                <w:noProof/>
              </w:rPr>
              <w:t>2</w:t>
            </w:r>
            <w:r w:rsidR="00C86CA7">
              <w:rPr>
                <w:b w:val="0"/>
                <w:noProof/>
                <w:lang w:eastAsia="en-NZ"/>
              </w:rPr>
              <w:tab/>
            </w:r>
            <w:r w:rsidR="00C86CA7" w:rsidRPr="00EC5C85">
              <w:rPr>
                <w:rStyle w:val="Hyperlink"/>
                <w:noProof/>
              </w:rPr>
              <w:t>The approach to developing a Code of Conduct</w:t>
            </w:r>
            <w:r w:rsidR="00C86CA7">
              <w:rPr>
                <w:noProof/>
                <w:webHidden/>
              </w:rPr>
              <w:tab/>
            </w:r>
            <w:r w:rsidR="00C86CA7">
              <w:rPr>
                <w:noProof/>
                <w:webHidden/>
              </w:rPr>
              <w:fldChar w:fldCharType="begin"/>
            </w:r>
            <w:r w:rsidR="00C86CA7">
              <w:rPr>
                <w:noProof/>
                <w:webHidden/>
              </w:rPr>
              <w:instrText xml:space="preserve"> PAGEREF _Toc107919616 \h </w:instrText>
            </w:r>
            <w:r w:rsidR="00C86CA7">
              <w:rPr>
                <w:noProof/>
                <w:webHidden/>
              </w:rPr>
            </w:r>
            <w:r w:rsidR="00C86CA7">
              <w:rPr>
                <w:noProof/>
                <w:webHidden/>
              </w:rPr>
              <w:fldChar w:fldCharType="separate"/>
            </w:r>
            <w:r w:rsidR="008D0C1F">
              <w:rPr>
                <w:noProof/>
                <w:webHidden/>
              </w:rPr>
              <w:t>11</w:t>
            </w:r>
            <w:r w:rsidR="00C86CA7">
              <w:rPr>
                <w:noProof/>
                <w:webHidden/>
              </w:rPr>
              <w:fldChar w:fldCharType="end"/>
            </w:r>
          </w:hyperlink>
        </w:p>
        <w:p w14:paraId="45027FF0" w14:textId="32CA81CF" w:rsidR="00C86CA7" w:rsidRDefault="0074633B">
          <w:pPr>
            <w:pStyle w:val="TOC2"/>
            <w:tabs>
              <w:tab w:val="left" w:pos="1100"/>
            </w:tabs>
            <w:rPr>
              <w:noProof/>
              <w:lang w:eastAsia="en-NZ"/>
            </w:rPr>
          </w:pPr>
          <w:hyperlink w:anchor="_Toc107919617" w:history="1">
            <w:r w:rsidR="00C86CA7" w:rsidRPr="00EC5C85">
              <w:rPr>
                <w:rStyle w:val="Hyperlink"/>
                <w:noProof/>
              </w:rPr>
              <w:t>2.1</w:t>
            </w:r>
            <w:r w:rsidR="00C86CA7">
              <w:rPr>
                <w:noProof/>
                <w:lang w:eastAsia="en-NZ"/>
              </w:rPr>
              <w:tab/>
            </w:r>
            <w:r w:rsidR="00C86CA7" w:rsidRPr="00EC5C85">
              <w:rPr>
                <w:rStyle w:val="Hyperlink"/>
                <w:noProof/>
              </w:rPr>
              <w:t>What is in this consultation paper</w:t>
            </w:r>
            <w:r w:rsidR="00C86CA7">
              <w:rPr>
                <w:noProof/>
                <w:webHidden/>
              </w:rPr>
              <w:tab/>
            </w:r>
            <w:r w:rsidR="00C86CA7">
              <w:rPr>
                <w:noProof/>
                <w:webHidden/>
              </w:rPr>
              <w:fldChar w:fldCharType="begin"/>
            </w:r>
            <w:r w:rsidR="00C86CA7">
              <w:rPr>
                <w:noProof/>
                <w:webHidden/>
              </w:rPr>
              <w:instrText xml:space="preserve"> PAGEREF _Toc107919617 \h </w:instrText>
            </w:r>
            <w:r w:rsidR="00C86CA7">
              <w:rPr>
                <w:noProof/>
                <w:webHidden/>
              </w:rPr>
            </w:r>
            <w:r w:rsidR="00C86CA7">
              <w:rPr>
                <w:noProof/>
                <w:webHidden/>
              </w:rPr>
              <w:fldChar w:fldCharType="separate"/>
            </w:r>
            <w:r w:rsidR="008D0C1F">
              <w:rPr>
                <w:noProof/>
                <w:webHidden/>
              </w:rPr>
              <w:t>11</w:t>
            </w:r>
            <w:r w:rsidR="00C86CA7">
              <w:rPr>
                <w:noProof/>
                <w:webHidden/>
              </w:rPr>
              <w:fldChar w:fldCharType="end"/>
            </w:r>
          </w:hyperlink>
        </w:p>
        <w:p w14:paraId="0BF2E5DE" w14:textId="1D774744" w:rsidR="00C86CA7" w:rsidRDefault="0074633B">
          <w:pPr>
            <w:pStyle w:val="TOC2"/>
            <w:tabs>
              <w:tab w:val="left" w:pos="1100"/>
            </w:tabs>
            <w:rPr>
              <w:noProof/>
              <w:lang w:eastAsia="en-NZ"/>
            </w:rPr>
          </w:pPr>
          <w:hyperlink w:anchor="_Toc107919618" w:history="1">
            <w:r w:rsidR="00C86CA7" w:rsidRPr="00EC5C85">
              <w:rPr>
                <w:rStyle w:val="Hyperlink"/>
                <w:noProof/>
              </w:rPr>
              <w:t>2.2</w:t>
            </w:r>
            <w:r w:rsidR="00C86CA7">
              <w:rPr>
                <w:noProof/>
                <w:lang w:eastAsia="en-NZ"/>
              </w:rPr>
              <w:tab/>
            </w:r>
            <w:r w:rsidR="00C86CA7" w:rsidRPr="00EC5C85">
              <w:rPr>
                <w:rStyle w:val="Hyperlink"/>
                <w:noProof/>
              </w:rPr>
              <w:t>What is the objective of the Code of Conduct?</w:t>
            </w:r>
            <w:r w:rsidR="00C86CA7">
              <w:rPr>
                <w:noProof/>
                <w:webHidden/>
              </w:rPr>
              <w:tab/>
            </w:r>
            <w:r w:rsidR="00C86CA7">
              <w:rPr>
                <w:noProof/>
                <w:webHidden/>
              </w:rPr>
              <w:fldChar w:fldCharType="begin"/>
            </w:r>
            <w:r w:rsidR="00C86CA7">
              <w:rPr>
                <w:noProof/>
                <w:webHidden/>
              </w:rPr>
              <w:instrText xml:space="preserve"> PAGEREF _Toc107919618 \h </w:instrText>
            </w:r>
            <w:r w:rsidR="00C86CA7">
              <w:rPr>
                <w:noProof/>
                <w:webHidden/>
              </w:rPr>
            </w:r>
            <w:r w:rsidR="00C86CA7">
              <w:rPr>
                <w:noProof/>
                <w:webHidden/>
              </w:rPr>
              <w:fldChar w:fldCharType="separate"/>
            </w:r>
            <w:r w:rsidR="008D0C1F">
              <w:rPr>
                <w:noProof/>
                <w:webHidden/>
              </w:rPr>
              <w:t>11</w:t>
            </w:r>
            <w:r w:rsidR="00C86CA7">
              <w:rPr>
                <w:noProof/>
                <w:webHidden/>
              </w:rPr>
              <w:fldChar w:fldCharType="end"/>
            </w:r>
          </w:hyperlink>
        </w:p>
        <w:p w14:paraId="00693AA9" w14:textId="04CC9830" w:rsidR="00C86CA7" w:rsidRDefault="0074633B">
          <w:pPr>
            <w:pStyle w:val="TOC2"/>
            <w:tabs>
              <w:tab w:val="left" w:pos="1100"/>
            </w:tabs>
            <w:rPr>
              <w:noProof/>
              <w:lang w:eastAsia="en-NZ"/>
            </w:rPr>
          </w:pPr>
          <w:hyperlink w:anchor="_Toc107919619" w:history="1">
            <w:r w:rsidR="00C86CA7" w:rsidRPr="00EC5C85">
              <w:rPr>
                <w:rStyle w:val="Hyperlink"/>
                <w:noProof/>
              </w:rPr>
              <w:t>2.3</w:t>
            </w:r>
            <w:r w:rsidR="00C86CA7">
              <w:rPr>
                <w:noProof/>
                <w:lang w:eastAsia="en-NZ"/>
              </w:rPr>
              <w:tab/>
            </w:r>
            <w:r w:rsidR="00C86CA7" w:rsidRPr="00EC5C85">
              <w:rPr>
                <w:rStyle w:val="Hyperlink"/>
                <w:noProof/>
              </w:rPr>
              <w:t>What criteria will be used to evaluate the options?</w:t>
            </w:r>
            <w:r w:rsidR="00C86CA7">
              <w:rPr>
                <w:noProof/>
                <w:webHidden/>
              </w:rPr>
              <w:tab/>
            </w:r>
            <w:r w:rsidR="00C86CA7">
              <w:rPr>
                <w:noProof/>
                <w:webHidden/>
              </w:rPr>
              <w:fldChar w:fldCharType="begin"/>
            </w:r>
            <w:r w:rsidR="00C86CA7">
              <w:rPr>
                <w:noProof/>
                <w:webHidden/>
              </w:rPr>
              <w:instrText xml:space="preserve"> PAGEREF _Toc107919619 \h </w:instrText>
            </w:r>
            <w:r w:rsidR="00C86CA7">
              <w:rPr>
                <w:noProof/>
                <w:webHidden/>
              </w:rPr>
            </w:r>
            <w:r w:rsidR="00C86CA7">
              <w:rPr>
                <w:noProof/>
                <w:webHidden/>
              </w:rPr>
              <w:fldChar w:fldCharType="separate"/>
            </w:r>
            <w:r w:rsidR="008D0C1F">
              <w:rPr>
                <w:noProof/>
                <w:webHidden/>
              </w:rPr>
              <w:t>12</w:t>
            </w:r>
            <w:r w:rsidR="00C86CA7">
              <w:rPr>
                <w:noProof/>
                <w:webHidden/>
              </w:rPr>
              <w:fldChar w:fldCharType="end"/>
            </w:r>
          </w:hyperlink>
        </w:p>
        <w:p w14:paraId="5FFC2408" w14:textId="1C654278" w:rsidR="00C86CA7" w:rsidRDefault="0074633B">
          <w:pPr>
            <w:pStyle w:val="TOC2"/>
            <w:tabs>
              <w:tab w:val="left" w:pos="1100"/>
            </w:tabs>
            <w:rPr>
              <w:noProof/>
              <w:lang w:eastAsia="en-NZ"/>
            </w:rPr>
          </w:pPr>
          <w:hyperlink w:anchor="_Toc107919620" w:history="1">
            <w:r w:rsidR="00C86CA7" w:rsidRPr="00EC5C85">
              <w:rPr>
                <w:rStyle w:val="Hyperlink"/>
                <w:noProof/>
              </w:rPr>
              <w:t>2.4</w:t>
            </w:r>
            <w:r w:rsidR="00C86CA7">
              <w:rPr>
                <w:noProof/>
                <w:lang w:eastAsia="en-NZ"/>
              </w:rPr>
              <w:tab/>
            </w:r>
            <w:r w:rsidR="00C86CA7" w:rsidRPr="00EC5C85">
              <w:rPr>
                <w:rStyle w:val="Hyperlink"/>
                <w:noProof/>
              </w:rPr>
              <w:t>What are the policy options?</w:t>
            </w:r>
            <w:r w:rsidR="00C86CA7">
              <w:rPr>
                <w:noProof/>
                <w:webHidden/>
              </w:rPr>
              <w:tab/>
            </w:r>
            <w:r w:rsidR="00C86CA7">
              <w:rPr>
                <w:noProof/>
                <w:webHidden/>
              </w:rPr>
              <w:fldChar w:fldCharType="begin"/>
            </w:r>
            <w:r w:rsidR="00C86CA7">
              <w:rPr>
                <w:noProof/>
                <w:webHidden/>
              </w:rPr>
              <w:instrText xml:space="preserve"> PAGEREF _Toc107919620 \h </w:instrText>
            </w:r>
            <w:r w:rsidR="00C86CA7">
              <w:rPr>
                <w:noProof/>
                <w:webHidden/>
              </w:rPr>
            </w:r>
            <w:r w:rsidR="00C86CA7">
              <w:rPr>
                <w:noProof/>
                <w:webHidden/>
              </w:rPr>
              <w:fldChar w:fldCharType="separate"/>
            </w:r>
            <w:r w:rsidR="008D0C1F">
              <w:rPr>
                <w:noProof/>
                <w:webHidden/>
              </w:rPr>
              <w:t>12</w:t>
            </w:r>
            <w:r w:rsidR="00C86CA7">
              <w:rPr>
                <w:noProof/>
                <w:webHidden/>
              </w:rPr>
              <w:fldChar w:fldCharType="end"/>
            </w:r>
          </w:hyperlink>
        </w:p>
        <w:p w14:paraId="66FF416A" w14:textId="50D9AD26" w:rsidR="00C86CA7" w:rsidRDefault="0074633B">
          <w:pPr>
            <w:pStyle w:val="TOC2"/>
            <w:tabs>
              <w:tab w:val="left" w:pos="1100"/>
            </w:tabs>
            <w:rPr>
              <w:noProof/>
              <w:lang w:eastAsia="en-NZ"/>
            </w:rPr>
          </w:pPr>
          <w:hyperlink w:anchor="_Toc107919621" w:history="1">
            <w:r w:rsidR="00C86CA7" w:rsidRPr="00EC5C85">
              <w:rPr>
                <w:rStyle w:val="Hyperlink"/>
                <w:noProof/>
              </w:rPr>
              <w:t>2.5</w:t>
            </w:r>
            <w:r w:rsidR="00C86CA7">
              <w:rPr>
                <w:noProof/>
                <w:lang w:eastAsia="en-NZ"/>
              </w:rPr>
              <w:tab/>
            </w:r>
            <w:r w:rsidR="00C86CA7" w:rsidRPr="00EC5C85">
              <w:rPr>
                <w:rStyle w:val="Hyperlink"/>
                <w:noProof/>
              </w:rPr>
              <w:t>Consultation questions</w:t>
            </w:r>
            <w:r w:rsidR="00C86CA7">
              <w:rPr>
                <w:noProof/>
                <w:webHidden/>
              </w:rPr>
              <w:tab/>
            </w:r>
            <w:r w:rsidR="00C86CA7">
              <w:rPr>
                <w:noProof/>
                <w:webHidden/>
              </w:rPr>
              <w:fldChar w:fldCharType="begin"/>
            </w:r>
            <w:r w:rsidR="00C86CA7">
              <w:rPr>
                <w:noProof/>
                <w:webHidden/>
              </w:rPr>
              <w:instrText xml:space="preserve"> PAGEREF _Toc107919621 \h </w:instrText>
            </w:r>
            <w:r w:rsidR="00C86CA7">
              <w:rPr>
                <w:noProof/>
                <w:webHidden/>
              </w:rPr>
            </w:r>
            <w:r w:rsidR="00C86CA7">
              <w:rPr>
                <w:noProof/>
                <w:webHidden/>
              </w:rPr>
              <w:fldChar w:fldCharType="separate"/>
            </w:r>
            <w:r w:rsidR="008D0C1F">
              <w:rPr>
                <w:noProof/>
                <w:webHidden/>
              </w:rPr>
              <w:t>14</w:t>
            </w:r>
            <w:r w:rsidR="00C86CA7">
              <w:rPr>
                <w:noProof/>
                <w:webHidden/>
              </w:rPr>
              <w:fldChar w:fldCharType="end"/>
            </w:r>
          </w:hyperlink>
        </w:p>
        <w:p w14:paraId="697D670E" w14:textId="724E74D2" w:rsidR="00C86CA7" w:rsidRDefault="0074633B">
          <w:pPr>
            <w:pStyle w:val="TOC1"/>
            <w:rPr>
              <w:b w:val="0"/>
              <w:noProof/>
              <w:lang w:eastAsia="en-NZ"/>
            </w:rPr>
          </w:pPr>
          <w:hyperlink w:anchor="_Toc107919622" w:history="1">
            <w:r w:rsidR="00C86CA7" w:rsidRPr="00EC5C85">
              <w:rPr>
                <w:rStyle w:val="Hyperlink"/>
                <w:noProof/>
              </w:rPr>
              <w:t>3</w:t>
            </w:r>
            <w:r w:rsidR="00C86CA7">
              <w:rPr>
                <w:b w:val="0"/>
                <w:noProof/>
                <w:lang w:eastAsia="en-NZ"/>
              </w:rPr>
              <w:tab/>
            </w:r>
            <w:r w:rsidR="00C86CA7" w:rsidRPr="00EC5C85">
              <w:rPr>
                <w:rStyle w:val="Hyperlink"/>
                <w:noProof/>
              </w:rPr>
              <w:t>Which retailers should be bound by the Code?</w:t>
            </w:r>
            <w:r w:rsidR="00C86CA7">
              <w:rPr>
                <w:noProof/>
                <w:webHidden/>
              </w:rPr>
              <w:tab/>
            </w:r>
            <w:r w:rsidR="00C86CA7">
              <w:rPr>
                <w:noProof/>
                <w:webHidden/>
              </w:rPr>
              <w:fldChar w:fldCharType="begin"/>
            </w:r>
            <w:r w:rsidR="00C86CA7">
              <w:rPr>
                <w:noProof/>
                <w:webHidden/>
              </w:rPr>
              <w:instrText xml:space="preserve"> PAGEREF _Toc107919622 \h </w:instrText>
            </w:r>
            <w:r w:rsidR="00C86CA7">
              <w:rPr>
                <w:noProof/>
                <w:webHidden/>
              </w:rPr>
            </w:r>
            <w:r w:rsidR="00C86CA7">
              <w:rPr>
                <w:noProof/>
                <w:webHidden/>
              </w:rPr>
              <w:fldChar w:fldCharType="separate"/>
            </w:r>
            <w:r w:rsidR="008D0C1F">
              <w:rPr>
                <w:noProof/>
                <w:webHidden/>
              </w:rPr>
              <w:t>15</w:t>
            </w:r>
            <w:r w:rsidR="00C86CA7">
              <w:rPr>
                <w:noProof/>
                <w:webHidden/>
              </w:rPr>
              <w:fldChar w:fldCharType="end"/>
            </w:r>
          </w:hyperlink>
        </w:p>
        <w:p w14:paraId="0AE78557" w14:textId="490FB9A5" w:rsidR="00C86CA7" w:rsidRDefault="0074633B">
          <w:pPr>
            <w:pStyle w:val="TOC2"/>
            <w:tabs>
              <w:tab w:val="left" w:pos="1100"/>
            </w:tabs>
            <w:rPr>
              <w:noProof/>
              <w:lang w:eastAsia="en-NZ"/>
            </w:rPr>
          </w:pPr>
          <w:hyperlink w:anchor="_Toc107919623" w:history="1">
            <w:r w:rsidR="00C86CA7" w:rsidRPr="00EC5C85">
              <w:rPr>
                <w:rStyle w:val="Hyperlink"/>
                <w:noProof/>
              </w:rPr>
              <w:t>3.1</w:t>
            </w:r>
            <w:r w:rsidR="00C86CA7">
              <w:rPr>
                <w:noProof/>
                <w:lang w:eastAsia="en-NZ"/>
              </w:rPr>
              <w:tab/>
            </w:r>
            <w:r w:rsidR="00C86CA7" w:rsidRPr="00EC5C85">
              <w:rPr>
                <w:rStyle w:val="Hyperlink"/>
                <w:noProof/>
              </w:rPr>
              <w:t>Approach to this issue</w:t>
            </w:r>
            <w:r w:rsidR="00C86CA7">
              <w:rPr>
                <w:noProof/>
                <w:webHidden/>
              </w:rPr>
              <w:tab/>
            </w:r>
            <w:r w:rsidR="00C86CA7">
              <w:rPr>
                <w:noProof/>
                <w:webHidden/>
              </w:rPr>
              <w:fldChar w:fldCharType="begin"/>
            </w:r>
            <w:r w:rsidR="00C86CA7">
              <w:rPr>
                <w:noProof/>
                <w:webHidden/>
              </w:rPr>
              <w:instrText xml:space="preserve"> PAGEREF _Toc107919623 \h </w:instrText>
            </w:r>
            <w:r w:rsidR="00C86CA7">
              <w:rPr>
                <w:noProof/>
                <w:webHidden/>
              </w:rPr>
            </w:r>
            <w:r w:rsidR="00C86CA7">
              <w:rPr>
                <w:noProof/>
                <w:webHidden/>
              </w:rPr>
              <w:fldChar w:fldCharType="separate"/>
            </w:r>
            <w:r w:rsidR="008D0C1F">
              <w:rPr>
                <w:noProof/>
                <w:webHidden/>
              </w:rPr>
              <w:t>15</w:t>
            </w:r>
            <w:r w:rsidR="00C86CA7">
              <w:rPr>
                <w:noProof/>
                <w:webHidden/>
              </w:rPr>
              <w:fldChar w:fldCharType="end"/>
            </w:r>
          </w:hyperlink>
        </w:p>
        <w:p w14:paraId="6EF31ABE" w14:textId="0ACFDAFF" w:rsidR="00C86CA7" w:rsidRDefault="0074633B">
          <w:pPr>
            <w:pStyle w:val="TOC2"/>
            <w:tabs>
              <w:tab w:val="left" w:pos="1100"/>
            </w:tabs>
            <w:rPr>
              <w:noProof/>
              <w:lang w:eastAsia="en-NZ"/>
            </w:rPr>
          </w:pPr>
          <w:hyperlink w:anchor="_Toc107919624" w:history="1">
            <w:r w:rsidR="00C86CA7" w:rsidRPr="00EC5C85">
              <w:rPr>
                <w:rStyle w:val="Hyperlink"/>
                <w:noProof/>
              </w:rPr>
              <w:t>3.2</w:t>
            </w:r>
            <w:r w:rsidR="00C86CA7">
              <w:rPr>
                <w:noProof/>
                <w:lang w:eastAsia="en-NZ"/>
              </w:rPr>
              <w:tab/>
            </w:r>
            <w:r w:rsidR="00C86CA7" w:rsidRPr="00EC5C85">
              <w:rPr>
                <w:rStyle w:val="Hyperlink"/>
                <w:noProof/>
              </w:rPr>
              <w:t>Who will be required to comply with the Code?</w:t>
            </w:r>
            <w:r w:rsidR="00C86CA7">
              <w:rPr>
                <w:noProof/>
                <w:webHidden/>
              </w:rPr>
              <w:tab/>
            </w:r>
            <w:r w:rsidR="00C86CA7">
              <w:rPr>
                <w:noProof/>
                <w:webHidden/>
              </w:rPr>
              <w:fldChar w:fldCharType="begin"/>
            </w:r>
            <w:r w:rsidR="00C86CA7">
              <w:rPr>
                <w:noProof/>
                <w:webHidden/>
              </w:rPr>
              <w:instrText xml:space="preserve"> PAGEREF _Toc107919624 \h </w:instrText>
            </w:r>
            <w:r w:rsidR="00C86CA7">
              <w:rPr>
                <w:noProof/>
                <w:webHidden/>
              </w:rPr>
            </w:r>
            <w:r w:rsidR="00C86CA7">
              <w:rPr>
                <w:noProof/>
                <w:webHidden/>
              </w:rPr>
              <w:fldChar w:fldCharType="separate"/>
            </w:r>
            <w:r w:rsidR="008D0C1F">
              <w:rPr>
                <w:noProof/>
                <w:webHidden/>
              </w:rPr>
              <w:t>15</w:t>
            </w:r>
            <w:r w:rsidR="00C86CA7">
              <w:rPr>
                <w:noProof/>
                <w:webHidden/>
              </w:rPr>
              <w:fldChar w:fldCharType="end"/>
            </w:r>
          </w:hyperlink>
        </w:p>
        <w:p w14:paraId="7F55D771" w14:textId="238449CB" w:rsidR="00C86CA7" w:rsidRDefault="0074633B">
          <w:pPr>
            <w:pStyle w:val="TOC2"/>
            <w:tabs>
              <w:tab w:val="left" w:pos="1100"/>
            </w:tabs>
            <w:rPr>
              <w:noProof/>
              <w:lang w:eastAsia="en-NZ"/>
            </w:rPr>
          </w:pPr>
          <w:hyperlink w:anchor="_Toc107919625" w:history="1">
            <w:r w:rsidR="00C86CA7" w:rsidRPr="00EC5C85">
              <w:rPr>
                <w:rStyle w:val="Hyperlink"/>
                <w:noProof/>
              </w:rPr>
              <w:t>3.3</w:t>
            </w:r>
            <w:r w:rsidR="00C86CA7">
              <w:rPr>
                <w:noProof/>
                <w:lang w:eastAsia="en-NZ"/>
              </w:rPr>
              <w:tab/>
            </w:r>
            <w:r w:rsidR="00C86CA7" w:rsidRPr="00EC5C85">
              <w:rPr>
                <w:rStyle w:val="Hyperlink"/>
                <w:noProof/>
              </w:rPr>
              <w:t>The method of designating grocery retailers</w:t>
            </w:r>
            <w:r w:rsidR="00C86CA7">
              <w:rPr>
                <w:noProof/>
                <w:webHidden/>
              </w:rPr>
              <w:tab/>
            </w:r>
            <w:r w:rsidR="00C86CA7">
              <w:rPr>
                <w:noProof/>
                <w:webHidden/>
              </w:rPr>
              <w:fldChar w:fldCharType="begin"/>
            </w:r>
            <w:r w:rsidR="00C86CA7">
              <w:rPr>
                <w:noProof/>
                <w:webHidden/>
              </w:rPr>
              <w:instrText xml:space="preserve"> PAGEREF _Toc107919625 \h </w:instrText>
            </w:r>
            <w:r w:rsidR="00C86CA7">
              <w:rPr>
                <w:noProof/>
                <w:webHidden/>
              </w:rPr>
            </w:r>
            <w:r w:rsidR="00C86CA7">
              <w:rPr>
                <w:noProof/>
                <w:webHidden/>
              </w:rPr>
              <w:fldChar w:fldCharType="separate"/>
            </w:r>
            <w:r w:rsidR="008D0C1F">
              <w:rPr>
                <w:noProof/>
                <w:webHidden/>
              </w:rPr>
              <w:t>16</w:t>
            </w:r>
            <w:r w:rsidR="00C86CA7">
              <w:rPr>
                <w:noProof/>
                <w:webHidden/>
              </w:rPr>
              <w:fldChar w:fldCharType="end"/>
            </w:r>
          </w:hyperlink>
        </w:p>
        <w:p w14:paraId="1B3703F6" w14:textId="67FE83A1" w:rsidR="00C86CA7" w:rsidRDefault="0074633B">
          <w:pPr>
            <w:pStyle w:val="TOC2"/>
            <w:tabs>
              <w:tab w:val="left" w:pos="1100"/>
            </w:tabs>
            <w:rPr>
              <w:noProof/>
              <w:lang w:eastAsia="en-NZ"/>
            </w:rPr>
          </w:pPr>
          <w:hyperlink w:anchor="_Toc107919626" w:history="1">
            <w:r w:rsidR="00C86CA7" w:rsidRPr="00EC5C85">
              <w:rPr>
                <w:rStyle w:val="Hyperlink"/>
                <w:noProof/>
              </w:rPr>
              <w:t>3.4</w:t>
            </w:r>
            <w:r w:rsidR="00C86CA7">
              <w:rPr>
                <w:noProof/>
                <w:lang w:eastAsia="en-NZ"/>
              </w:rPr>
              <w:tab/>
            </w:r>
            <w:r w:rsidR="00C86CA7" w:rsidRPr="00EC5C85">
              <w:rPr>
                <w:rStyle w:val="Hyperlink"/>
                <w:noProof/>
              </w:rPr>
              <w:t>How should the major grocery retailers be regulated by the Code?</w:t>
            </w:r>
            <w:r w:rsidR="00C86CA7">
              <w:rPr>
                <w:noProof/>
                <w:webHidden/>
              </w:rPr>
              <w:tab/>
            </w:r>
            <w:r w:rsidR="00C86CA7">
              <w:rPr>
                <w:noProof/>
                <w:webHidden/>
              </w:rPr>
              <w:fldChar w:fldCharType="begin"/>
            </w:r>
            <w:r w:rsidR="00C86CA7">
              <w:rPr>
                <w:noProof/>
                <w:webHidden/>
              </w:rPr>
              <w:instrText xml:space="preserve"> PAGEREF _Toc107919626 \h </w:instrText>
            </w:r>
            <w:r w:rsidR="00C86CA7">
              <w:rPr>
                <w:noProof/>
                <w:webHidden/>
              </w:rPr>
            </w:r>
            <w:r w:rsidR="00C86CA7">
              <w:rPr>
                <w:noProof/>
                <w:webHidden/>
              </w:rPr>
              <w:fldChar w:fldCharType="separate"/>
            </w:r>
            <w:r w:rsidR="008D0C1F">
              <w:rPr>
                <w:noProof/>
                <w:webHidden/>
              </w:rPr>
              <w:t>18</w:t>
            </w:r>
            <w:r w:rsidR="00C86CA7">
              <w:rPr>
                <w:noProof/>
                <w:webHidden/>
              </w:rPr>
              <w:fldChar w:fldCharType="end"/>
            </w:r>
          </w:hyperlink>
        </w:p>
        <w:p w14:paraId="289FBC3A" w14:textId="43E75EDF" w:rsidR="00C86CA7" w:rsidRDefault="0074633B">
          <w:pPr>
            <w:pStyle w:val="TOC2"/>
            <w:tabs>
              <w:tab w:val="left" w:pos="1100"/>
            </w:tabs>
            <w:rPr>
              <w:noProof/>
              <w:lang w:eastAsia="en-NZ"/>
            </w:rPr>
          </w:pPr>
          <w:hyperlink w:anchor="_Toc107919627" w:history="1">
            <w:r w:rsidR="00C86CA7" w:rsidRPr="00EC5C85">
              <w:rPr>
                <w:rStyle w:val="Hyperlink"/>
                <w:noProof/>
              </w:rPr>
              <w:t>3.5</w:t>
            </w:r>
            <w:r w:rsidR="00C86CA7">
              <w:rPr>
                <w:noProof/>
                <w:lang w:eastAsia="en-NZ"/>
              </w:rPr>
              <w:tab/>
            </w:r>
            <w:r w:rsidR="00C86CA7" w:rsidRPr="00EC5C85">
              <w:rPr>
                <w:rStyle w:val="Hyperlink"/>
                <w:noProof/>
              </w:rPr>
              <w:t>Preliminary options analysis</w:t>
            </w:r>
            <w:r w:rsidR="00C86CA7">
              <w:rPr>
                <w:noProof/>
                <w:webHidden/>
              </w:rPr>
              <w:tab/>
            </w:r>
            <w:r w:rsidR="00C86CA7">
              <w:rPr>
                <w:noProof/>
                <w:webHidden/>
              </w:rPr>
              <w:fldChar w:fldCharType="begin"/>
            </w:r>
            <w:r w:rsidR="00C86CA7">
              <w:rPr>
                <w:noProof/>
                <w:webHidden/>
              </w:rPr>
              <w:instrText xml:space="preserve"> PAGEREF _Toc107919627 \h </w:instrText>
            </w:r>
            <w:r w:rsidR="00C86CA7">
              <w:rPr>
                <w:noProof/>
                <w:webHidden/>
              </w:rPr>
            </w:r>
            <w:r w:rsidR="00C86CA7">
              <w:rPr>
                <w:noProof/>
                <w:webHidden/>
              </w:rPr>
              <w:fldChar w:fldCharType="separate"/>
            </w:r>
            <w:r w:rsidR="008D0C1F">
              <w:rPr>
                <w:noProof/>
                <w:webHidden/>
              </w:rPr>
              <w:t>19</w:t>
            </w:r>
            <w:r w:rsidR="00C86CA7">
              <w:rPr>
                <w:noProof/>
                <w:webHidden/>
              </w:rPr>
              <w:fldChar w:fldCharType="end"/>
            </w:r>
          </w:hyperlink>
        </w:p>
        <w:p w14:paraId="1304B7F8" w14:textId="1B654768" w:rsidR="00C86CA7" w:rsidRDefault="0074633B">
          <w:pPr>
            <w:pStyle w:val="TOC2"/>
            <w:tabs>
              <w:tab w:val="left" w:pos="1100"/>
            </w:tabs>
            <w:rPr>
              <w:noProof/>
              <w:lang w:eastAsia="en-NZ"/>
            </w:rPr>
          </w:pPr>
          <w:hyperlink w:anchor="_Toc107919628" w:history="1">
            <w:r w:rsidR="00C86CA7" w:rsidRPr="00EC5C85">
              <w:rPr>
                <w:rStyle w:val="Hyperlink"/>
                <w:noProof/>
              </w:rPr>
              <w:t>3.6</w:t>
            </w:r>
            <w:r w:rsidR="00C86CA7">
              <w:rPr>
                <w:noProof/>
                <w:lang w:eastAsia="en-NZ"/>
              </w:rPr>
              <w:tab/>
            </w:r>
            <w:r w:rsidR="00C86CA7" w:rsidRPr="00EC5C85">
              <w:rPr>
                <w:rStyle w:val="Hyperlink"/>
                <w:noProof/>
              </w:rPr>
              <w:t>Consultation questions</w:t>
            </w:r>
            <w:r w:rsidR="00C86CA7">
              <w:rPr>
                <w:noProof/>
                <w:webHidden/>
              </w:rPr>
              <w:tab/>
            </w:r>
            <w:r w:rsidR="00C86CA7">
              <w:rPr>
                <w:noProof/>
                <w:webHidden/>
              </w:rPr>
              <w:fldChar w:fldCharType="begin"/>
            </w:r>
            <w:r w:rsidR="00C86CA7">
              <w:rPr>
                <w:noProof/>
                <w:webHidden/>
              </w:rPr>
              <w:instrText xml:space="preserve"> PAGEREF _Toc107919628 \h </w:instrText>
            </w:r>
            <w:r w:rsidR="00C86CA7">
              <w:rPr>
                <w:noProof/>
                <w:webHidden/>
              </w:rPr>
            </w:r>
            <w:r w:rsidR="00C86CA7">
              <w:rPr>
                <w:noProof/>
                <w:webHidden/>
              </w:rPr>
              <w:fldChar w:fldCharType="separate"/>
            </w:r>
            <w:r w:rsidR="008D0C1F">
              <w:rPr>
                <w:noProof/>
                <w:webHidden/>
              </w:rPr>
              <w:t>20</w:t>
            </w:r>
            <w:r w:rsidR="00C86CA7">
              <w:rPr>
                <w:noProof/>
                <w:webHidden/>
              </w:rPr>
              <w:fldChar w:fldCharType="end"/>
            </w:r>
          </w:hyperlink>
        </w:p>
        <w:p w14:paraId="37124FBB" w14:textId="6895F479" w:rsidR="00C86CA7" w:rsidRDefault="0074633B">
          <w:pPr>
            <w:pStyle w:val="TOC1"/>
            <w:rPr>
              <w:b w:val="0"/>
              <w:noProof/>
              <w:lang w:eastAsia="en-NZ"/>
            </w:rPr>
          </w:pPr>
          <w:hyperlink w:anchor="_Toc107919629" w:history="1">
            <w:r w:rsidR="00C86CA7" w:rsidRPr="00EC5C85">
              <w:rPr>
                <w:rStyle w:val="Hyperlink"/>
                <w:noProof/>
              </w:rPr>
              <w:t>4</w:t>
            </w:r>
            <w:r w:rsidR="00C86CA7">
              <w:rPr>
                <w:b w:val="0"/>
                <w:noProof/>
                <w:lang w:eastAsia="en-NZ"/>
              </w:rPr>
              <w:tab/>
            </w:r>
            <w:r w:rsidR="00C86CA7" w:rsidRPr="00EC5C85">
              <w:rPr>
                <w:rStyle w:val="Hyperlink"/>
                <w:noProof/>
              </w:rPr>
              <w:t>Including a purpose statement within the Code and overarching obligations</w:t>
            </w:r>
            <w:r w:rsidR="00C86CA7">
              <w:rPr>
                <w:noProof/>
                <w:webHidden/>
              </w:rPr>
              <w:tab/>
            </w:r>
            <w:r w:rsidR="00C86CA7">
              <w:rPr>
                <w:noProof/>
                <w:webHidden/>
              </w:rPr>
              <w:fldChar w:fldCharType="begin"/>
            </w:r>
            <w:r w:rsidR="00C86CA7">
              <w:rPr>
                <w:noProof/>
                <w:webHidden/>
              </w:rPr>
              <w:instrText xml:space="preserve"> PAGEREF _Toc107919629 \h </w:instrText>
            </w:r>
            <w:r w:rsidR="00C86CA7">
              <w:rPr>
                <w:noProof/>
                <w:webHidden/>
              </w:rPr>
            </w:r>
            <w:r w:rsidR="00C86CA7">
              <w:rPr>
                <w:noProof/>
                <w:webHidden/>
              </w:rPr>
              <w:fldChar w:fldCharType="separate"/>
            </w:r>
            <w:r w:rsidR="008D0C1F">
              <w:rPr>
                <w:noProof/>
                <w:webHidden/>
              </w:rPr>
              <w:t>21</w:t>
            </w:r>
            <w:r w:rsidR="00C86CA7">
              <w:rPr>
                <w:noProof/>
                <w:webHidden/>
              </w:rPr>
              <w:fldChar w:fldCharType="end"/>
            </w:r>
          </w:hyperlink>
        </w:p>
        <w:p w14:paraId="548979F8" w14:textId="7188B8FF" w:rsidR="00C86CA7" w:rsidRDefault="0074633B">
          <w:pPr>
            <w:pStyle w:val="TOC2"/>
            <w:tabs>
              <w:tab w:val="left" w:pos="1100"/>
            </w:tabs>
            <w:rPr>
              <w:noProof/>
              <w:lang w:eastAsia="en-NZ"/>
            </w:rPr>
          </w:pPr>
          <w:hyperlink w:anchor="_Toc107919630" w:history="1">
            <w:r w:rsidR="00C86CA7" w:rsidRPr="00EC5C85">
              <w:rPr>
                <w:rStyle w:val="Hyperlink"/>
                <w:noProof/>
              </w:rPr>
              <w:t>4.1</w:t>
            </w:r>
            <w:r w:rsidR="00C86CA7">
              <w:rPr>
                <w:noProof/>
                <w:lang w:eastAsia="en-NZ"/>
              </w:rPr>
              <w:tab/>
            </w:r>
            <w:r w:rsidR="00C86CA7" w:rsidRPr="00EC5C85">
              <w:rPr>
                <w:rStyle w:val="Hyperlink"/>
                <w:noProof/>
              </w:rPr>
              <w:t>Approach to this issue</w:t>
            </w:r>
            <w:r w:rsidR="00C86CA7">
              <w:rPr>
                <w:noProof/>
                <w:webHidden/>
              </w:rPr>
              <w:tab/>
            </w:r>
            <w:r w:rsidR="00C86CA7">
              <w:rPr>
                <w:noProof/>
                <w:webHidden/>
              </w:rPr>
              <w:fldChar w:fldCharType="begin"/>
            </w:r>
            <w:r w:rsidR="00C86CA7">
              <w:rPr>
                <w:noProof/>
                <w:webHidden/>
              </w:rPr>
              <w:instrText xml:space="preserve"> PAGEREF _Toc107919630 \h </w:instrText>
            </w:r>
            <w:r w:rsidR="00C86CA7">
              <w:rPr>
                <w:noProof/>
                <w:webHidden/>
              </w:rPr>
            </w:r>
            <w:r w:rsidR="00C86CA7">
              <w:rPr>
                <w:noProof/>
                <w:webHidden/>
              </w:rPr>
              <w:fldChar w:fldCharType="separate"/>
            </w:r>
            <w:r w:rsidR="008D0C1F">
              <w:rPr>
                <w:noProof/>
                <w:webHidden/>
              </w:rPr>
              <w:t>21</w:t>
            </w:r>
            <w:r w:rsidR="00C86CA7">
              <w:rPr>
                <w:noProof/>
                <w:webHidden/>
              </w:rPr>
              <w:fldChar w:fldCharType="end"/>
            </w:r>
          </w:hyperlink>
        </w:p>
        <w:p w14:paraId="39191269" w14:textId="72C2A270" w:rsidR="00C86CA7" w:rsidRDefault="0074633B">
          <w:pPr>
            <w:pStyle w:val="TOC2"/>
            <w:tabs>
              <w:tab w:val="left" w:pos="1100"/>
            </w:tabs>
            <w:rPr>
              <w:noProof/>
              <w:lang w:eastAsia="en-NZ"/>
            </w:rPr>
          </w:pPr>
          <w:hyperlink w:anchor="_Toc107919631" w:history="1">
            <w:r w:rsidR="00C86CA7" w:rsidRPr="00EC5C85">
              <w:rPr>
                <w:rStyle w:val="Hyperlink"/>
                <w:noProof/>
              </w:rPr>
              <w:t>4.2</w:t>
            </w:r>
            <w:r w:rsidR="00C86CA7">
              <w:rPr>
                <w:noProof/>
                <w:lang w:eastAsia="en-NZ"/>
              </w:rPr>
              <w:tab/>
            </w:r>
            <w:r w:rsidR="00C86CA7" w:rsidRPr="00EC5C85">
              <w:rPr>
                <w:rStyle w:val="Hyperlink"/>
                <w:noProof/>
              </w:rPr>
              <w:t>Purpose of the Code</w:t>
            </w:r>
            <w:r w:rsidR="00C86CA7">
              <w:rPr>
                <w:noProof/>
                <w:webHidden/>
              </w:rPr>
              <w:tab/>
            </w:r>
            <w:r w:rsidR="00C86CA7">
              <w:rPr>
                <w:noProof/>
                <w:webHidden/>
              </w:rPr>
              <w:fldChar w:fldCharType="begin"/>
            </w:r>
            <w:r w:rsidR="00C86CA7">
              <w:rPr>
                <w:noProof/>
                <w:webHidden/>
              </w:rPr>
              <w:instrText xml:space="preserve"> PAGEREF _Toc107919631 \h </w:instrText>
            </w:r>
            <w:r w:rsidR="00C86CA7">
              <w:rPr>
                <w:noProof/>
                <w:webHidden/>
              </w:rPr>
            </w:r>
            <w:r w:rsidR="00C86CA7">
              <w:rPr>
                <w:noProof/>
                <w:webHidden/>
              </w:rPr>
              <w:fldChar w:fldCharType="separate"/>
            </w:r>
            <w:r w:rsidR="008D0C1F">
              <w:rPr>
                <w:noProof/>
                <w:webHidden/>
              </w:rPr>
              <w:t>21</w:t>
            </w:r>
            <w:r w:rsidR="00C86CA7">
              <w:rPr>
                <w:noProof/>
                <w:webHidden/>
              </w:rPr>
              <w:fldChar w:fldCharType="end"/>
            </w:r>
          </w:hyperlink>
        </w:p>
        <w:p w14:paraId="11E40E87" w14:textId="0730A3CA" w:rsidR="00C86CA7" w:rsidRDefault="0074633B">
          <w:pPr>
            <w:pStyle w:val="TOC2"/>
            <w:tabs>
              <w:tab w:val="left" w:pos="1100"/>
            </w:tabs>
            <w:rPr>
              <w:noProof/>
              <w:lang w:eastAsia="en-NZ"/>
            </w:rPr>
          </w:pPr>
          <w:hyperlink w:anchor="_Toc107919632" w:history="1">
            <w:r w:rsidR="00C86CA7" w:rsidRPr="00EC5C85">
              <w:rPr>
                <w:rStyle w:val="Hyperlink"/>
                <w:noProof/>
              </w:rPr>
              <w:t>4.3</w:t>
            </w:r>
            <w:r w:rsidR="00C86CA7">
              <w:rPr>
                <w:noProof/>
                <w:lang w:eastAsia="en-NZ"/>
              </w:rPr>
              <w:tab/>
            </w:r>
            <w:r w:rsidR="00C86CA7" w:rsidRPr="00EC5C85">
              <w:rPr>
                <w:rStyle w:val="Hyperlink"/>
                <w:noProof/>
              </w:rPr>
              <w:t>Overarching obligations</w:t>
            </w:r>
            <w:r w:rsidR="00C86CA7">
              <w:rPr>
                <w:noProof/>
                <w:webHidden/>
              </w:rPr>
              <w:tab/>
            </w:r>
            <w:r w:rsidR="00C86CA7">
              <w:rPr>
                <w:noProof/>
                <w:webHidden/>
              </w:rPr>
              <w:fldChar w:fldCharType="begin"/>
            </w:r>
            <w:r w:rsidR="00C86CA7">
              <w:rPr>
                <w:noProof/>
                <w:webHidden/>
              </w:rPr>
              <w:instrText xml:space="preserve"> PAGEREF _Toc107919632 \h </w:instrText>
            </w:r>
            <w:r w:rsidR="00C86CA7">
              <w:rPr>
                <w:noProof/>
                <w:webHidden/>
              </w:rPr>
            </w:r>
            <w:r w:rsidR="00C86CA7">
              <w:rPr>
                <w:noProof/>
                <w:webHidden/>
              </w:rPr>
              <w:fldChar w:fldCharType="separate"/>
            </w:r>
            <w:r w:rsidR="008D0C1F">
              <w:rPr>
                <w:noProof/>
                <w:webHidden/>
              </w:rPr>
              <w:t>23</w:t>
            </w:r>
            <w:r w:rsidR="00C86CA7">
              <w:rPr>
                <w:noProof/>
                <w:webHidden/>
              </w:rPr>
              <w:fldChar w:fldCharType="end"/>
            </w:r>
          </w:hyperlink>
        </w:p>
        <w:p w14:paraId="750E1659" w14:textId="04380713" w:rsidR="00C86CA7" w:rsidRDefault="0074633B">
          <w:pPr>
            <w:pStyle w:val="TOC2"/>
            <w:tabs>
              <w:tab w:val="left" w:pos="1100"/>
            </w:tabs>
            <w:rPr>
              <w:noProof/>
              <w:lang w:eastAsia="en-NZ"/>
            </w:rPr>
          </w:pPr>
          <w:hyperlink w:anchor="_Toc107919633" w:history="1">
            <w:r w:rsidR="00C86CA7" w:rsidRPr="00EC5C85">
              <w:rPr>
                <w:rStyle w:val="Hyperlink"/>
                <w:noProof/>
              </w:rPr>
              <w:t>4.4</w:t>
            </w:r>
            <w:r w:rsidR="00C86CA7">
              <w:rPr>
                <w:noProof/>
                <w:lang w:eastAsia="en-NZ"/>
              </w:rPr>
              <w:tab/>
            </w:r>
            <w:r w:rsidR="00C86CA7" w:rsidRPr="00EC5C85">
              <w:rPr>
                <w:rStyle w:val="Hyperlink"/>
                <w:noProof/>
              </w:rPr>
              <w:t>Preliminary options analysis</w:t>
            </w:r>
            <w:r w:rsidR="00C86CA7">
              <w:rPr>
                <w:noProof/>
                <w:webHidden/>
              </w:rPr>
              <w:tab/>
            </w:r>
            <w:r w:rsidR="00C86CA7">
              <w:rPr>
                <w:noProof/>
                <w:webHidden/>
              </w:rPr>
              <w:fldChar w:fldCharType="begin"/>
            </w:r>
            <w:r w:rsidR="00C86CA7">
              <w:rPr>
                <w:noProof/>
                <w:webHidden/>
              </w:rPr>
              <w:instrText xml:space="preserve"> PAGEREF _Toc107919633 \h </w:instrText>
            </w:r>
            <w:r w:rsidR="00C86CA7">
              <w:rPr>
                <w:noProof/>
                <w:webHidden/>
              </w:rPr>
            </w:r>
            <w:r w:rsidR="00C86CA7">
              <w:rPr>
                <w:noProof/>
                <w:webHidden/>
              </w:rPr>
              <w:fldChar w:fldCharType="separate"/>
            </w:r>
            <w:r w:rsidR="008D0C1F">
              <w:rPr>
                <w:noProof/>
                <w:webHidden/>
              </w:rPr>
              <w:t>26</w:t>
            </w:r>
            <w:r w:rsidR="00C86CA7">
              <w:rPr>
                <w:noProof/>
                <w:webHidden/>
              </w:rPr>
              <w:fldChar w:fldCharType="end"/>
            </w:r>
          </w:hyperlink>
        </w:p>
        <w:p w14:paraId="387C5536" w14:textId="22EB8A59" w:rsidR="00C86CA7" w:rsidRDefault="0074633B">
          <w:pPr>
            <w:pStyle w:val="TOC2"/>
            <w:tabs>
              <w:tab w:val="left" w:pos="1100"/>
            </w:tabs>
            <w:rPr>
              <w:noProof/>
              <w:lang w:eastAsia="en-NZ"/>
            </w:rPr>
          </w:pPr>
          <w:hyperlink w:anchor="_Toc107919634" w:history="1">
            <w:r w:rsidR="00C86CA7" w:rsidRPr="00EC5C85">
              <w:rPr>
                <w:rStyle w:val="Hyperlink"/>
                <w:noProof/>
              </w:rPr>
              <w:t>4.5</w:t>
            </w:r>
            <w:r w:rsidR="00C86CA7">
              <w:rPr>
                <w:noProof/>
                <w:lang w:eastAsia="en-NZ"/>
              </w:rPr>
              <w:tab/>
            </w:r>
            <w:r w:rsidR="00C86CA7" w:rsidRPr="00EC5C85">
              <w:rPr>
                <w:rStyle w:val="Hyperlink"/>
                <w:noProof/>
              </w:rPr>
              <w:t>Consultation questions</w:t>
            </w:r>
            <w:r w:rsidR="00C86CA7">
              <w:rPr>
                <w:noProof/>
                <w:webHidden/>
              </w:rPr>
              <w:tab/>
            </w:r>
            <w:r w:rsidR="00C86CA7">
              <w:rPr>
                <w:noProof/>
                <w:webHidden/>
              </w:rPr>
              <w:fldChar w:fldCharType="begin"/>
            </w:r>
            <w:r w:rsidR="00C86CA7">
              <w:rPr>
                <w:noProof/>
                <w:webHidden/>
              </w:rPr>
              <w:instrText xml:space="preserve"> PAGEREF _Toc107919634 \h </w:instrText>
            </w:r>
            <w:r w:rsidR="00C86CA7">
              <w:rPr>
                <w:noProof/>
                <w:webHidden/>
              </w:rPr>
            </w:r>
            <w:r w:rsidR="00C86CA7">
              <w:rPr>
                <w:noProof/>
                <w:webHidden/>
              </w:rPr>
              <w:fldChar w:fldCharType="separate"/>
            </w:r>
            <w:r w:rsidR="008D0C1F">
              <w:rPr>
                <w:noProof/>
                <w:webHidden/>
              </w:rPr>
              <w:t>27</w:t>
            </w:r>
            <w:r w:rsidR="00C86CA7">
              <w:rPr>
                <w:noProof/>
                <w:webHidden/>
              </w:rPr>
              <w:fldChar w:fldCharType="end"/>
            </w:r>
          </w:hyperlink>
        </w:p>
        <w:p w14:paraId="14DDBC48" w14:textId="168EF876" w:rsidR="00C86CA7" w:rsidRDefault="0074633B">
          <w:pPr>
            <w:pStyle w:val="TOC1"/>
            <w:rPr>
              <w:b w:val="0"/>
              <w:noProof/>
              <w:lang w:eastAsia="en-NZ"/>
            </w:rPr>
          </w:pPr>
          <w:hyperlink w:anchor="_Toc107919635" w:history="1">
            <w:r w:rsidR="00C86CA7" w:rsidRPr="00EC5C85">
              <w:rPr>
                <w:rStyle w:val="Hyperlink"/>
                <w:noProof/>
              </w:rPr>
              <w:t>5</w:t>
            </w:r>
            <w:r w:rsidR="00C86CA7">
              <w:rPr>
                <w:b w:val="0"/>
                <w:noProof/>
                <w:lang w:eastAsia="en-NZ"/>
              </w:rPr>
              <w:tab/>
            </w:r>
            <w:r w:rsidR="00C86CA7" w:rsidRPr="00EC5C85">
              <w:rPr>
                <w:rStyle w:val="Hyperlink"/>
                <w:noProof/>
              </w:rPr>
              <w:t>Requirements for supply agreements</w:t>
            </w:r>
            <w:r w:rsidR="00C86CA7">
              <w:rPr>
                <w:noProof/>
                <w:webHidden/>
              </w:rPr>
              <w:tab/>
            </w:r>
            <w:r w:rsidR="00C86CA7">
              <w:rPr>
                <w:noProof/>
                <w:webHidden/>
              </w:rPr>
              <w:fldChar w:fldCharType="begin"/>
            </w:r>
            <w:r w:rsidR="00C86CA7">
              <w:rPr>
                <w:noProof/>
                <w:webHidden/>
              </w:rPr>
              <w:instrText xml:space="preserve"> PAGEREF _Toc107919635 \h </w:instrText>
            </w:r>
            <w:r w:rsidR="00C86CA7">
              <w:rPr>
                <w:noProof/>
                <w:webHidden/>
              </w:rPr>
            </w:r>
            <w:r w:rsidR="00C86CA7">
              <w:rPr>
                <w:noProof/>
                <w:webHidden/>
              </w:rPr>
              <w:fldChar w:fldCharType="separate"/>
            </w:r>
            <w:r w:rsidR="008D0C1F">
              <w:rPr>
                <w:noProof/>
                <w:webHidden/>
              </w:rPr>
              <w:t>28</w:t>
            </w:r>
            <w:r w:rsidR="00C86CA7">
              <w:rPr>
                <w:noProof/>
                <w:webHidden/>
              </w:rPr>
              <w:fldChar w:fldCharType="end"/>
            </w:r>
          </w:hyperlink>
        </w:p>
        <w:p w14:paraId="198CCA75" w14:textId="43D18A96" w:rsidR="00C86CA7" w:rsidRDefault="0074633B">
          <w:pPr>
            <w:pStyle w:val="TOC2"/>
            <w:tabs>
              <w:tab w:val="left" w:pos="1100"/>
            </w:tabs>
            <w:rPr>
              <w:noProof/>
              <w:lang w:eastAsia="en-NZ"/>
            </w:rPr>
          </w:pPr>
          <w:hyperlink w:anchor="_Toc107919636" w:history="1">
            <w:r w:rsidR="00C86CA7" w:rsidRPr="00EC5C85">
              <w:rPr>
                <w:rStyle w:val="Hyperlink"/>
                <w:noProof/>
              </w:rPr>
              <w:t>5.1</w:t>
            </w:r>
            <w:r w:rsidR="00C86CA7">
              <w:rPr>
                <w:noProof/>
                <w:lang w:eastAsia="en-NZ"/>
              </w:rPr>
              <w:tab/>
            </w:r>
            <w:r w:rsidR="00C86CA7" w:rsidRPr="00EC5C85">
              <w:rPr>
                <w:rStyle w:val="Hyperlink"/>
                <w:noProof/>
              </w:rPr>
              <w:t>Approach to this issue</w:t>
            </w:r>
            <w:r w:rsidR="00C86CA7">
              <w:rPr>
                <w:noProof/>
                <w:webHidden/>
              </w:rPr>
              <w:tab/>
            </w:r>
            <w:r w:rsidR="00C86CA7">
              <w:rPr>
                <w:noProof/>
                <w:webHidden/>
              </w:rPr>
              <w:fldChar w:fldCharType="begin"/>
            </w:r>
            <w:r w:rsidR="00C86CA7">
              <w:rPr>
                <w:noProof/>
                <w:webHidden/>
              </w:rPr>
              <w:instrText xml:space="preserve"> PAGEREF _Toc107919636 \h </w:instrText>
            </w:r>
            <w:r w:rsidR="00C86CA7">
              <w:rPr>
                <w:noProof/>
                <w:webHidden/>
              </w:rPr>
            </w:r>
            <w:r w:rsidR="00C86CA7">
              <w:rPr>
                <w:noProof/>
                <w:webHidden/>
              </w:rPr>
              <w:fldChar w:fldCharType="separate"/>
            </w:r>
            <w:r w:rsidR="008D0C1F">
              <w:rPr>
                <w:noProof/>
                <w:webHidden/>
              </w:rPr>
              <w:t>28</w:t>
            </w:r>
            <w:r w:rsidR="00C86CA7">
              <w:rPr>
                <w:noProof/>
                <w:webHidden/>
              </w:rPr>
              <w:fldChar w:fldCharType="end"/>
            </w:r>
          </w:hyperlink>
        </w:p>
        <w:p w14:paraId="493FBC1A" w14:textId="20804D84" w:rsidR="00C86CA7" w:rsidRDefault="0074633B">
          <w:pPr>
            <w:pStyle w:val="TOC2"/>
            <w:tabs>
              <w:tab w:val="left" w:pos="1100"/>
            </w:tabs>
            <w:rPr>
              <w:noProof/>
              <w:lang w:eastAsia="en-NZ"/>
            </w:rPr>
          </w:pPr>
          <w:hyperlink w:anchor="_Toc107919637" w:history="1">
            <w:r w:rsidR="00C86CA7" w:rsidRPr="00EC5C85">
              <w:rPr>
                <w:rStyle w:val="Hyperlink"/>
                <w:noProof/>
              </w:rPr>
              <w:t>5.2</w:t>
            </w:r>
            <w:r w:rsidR="00C86CA7">
              <w:rPr>
                <w:noProof/>
                <w:lang w:eastAsia="en-NZ"/>
              </w:rPr>
              <w:tab/>
            </w:r>
            <w:r w:rsidR="00C86CA7" w:rsidRPr="00EC5C85">
              <w:rPr>
                <w:rStyle w:val="Hyperlink"/>
                <w:noProof/>
              </w:rPr>
              <w:t>Requirement for supply agreements to be written and contain certain content</w:t>
            </w:r>
            <w:r w:rsidR="00C86CA7">
              <w:rPr>
                <w:noProof/>
                <w:webHidden/>
              </w:rPr>
              <w:tab/>
            </w:r>
            <w:r w:rsidR="00C86CA7">
              <w:rPr>
                <w:noProof/>
                <w:webHidden/>
              </w:rPr>
              <w:fldChar w:fldCharType="begin"/>
            </w:r>
            <w:r w:rsidR="00C86CA7">
              <w:rPr>
                <w:noProof/>
                <w:webHidden/>
              </w:rPr>
              <w:instrText xml:space="preserve"> PAGEREF _Toc107919637 \h </w:instrText>
            </w:r>
            <w:r w:rsidR="00C86CA7">
              <w:rPr>
                <w:noProof/>
                <w:webHidden/>
              </w:rPr>
            </w:r>
            <w:r w:rsidR="00C86CA7">
              <w:rPr>
                <w:noProof/>
                <w:webHidden/>
              </w:rPr>
              <w:fldChar w:fldCharType="separate"/>
            </w:r>
            <w:r w:rsidR="008D0C1F">
              <w:rPr>
                <w:noProof/>
                <w:webHidden/>
              </w:rPr>
              <w:t>28</w:t>
            </w:r>
            <w:r w:rsidR="00C86CA7">
              <w:rPr>
                <w:noProof/>
                <w:webHidden/>
              </w:rPr>
              <w:fldChar w:fldCharType="end"/>
            </w:r>
          </w:hyperlink>
        </w:p>
        <w:p w14:paraId="2D2003DE" w14:textId="79F223EC" w:rsidR="00C86CA7" w:rsidRDefault="0074633B">
          <w:pPr>
            <w:pStyle w:val="TOC2"/>
            <w:tabs>
              <w:tab w:val="left" w:pos="1100"/>
            </w:tabs>
            <w:rPr>
              <w:noProof/>
              <w:lang w:eastAsia="en-NZ"/>
            </w:rPr>
          </w:pPr>
          <w:hyperlink w:anchor="_Toc107919638" w:history="1">
            <w:r w:rsidR="00C86CA7" w:rsidRPr="00EC5C85">
              <w:rPr>
                <w:rStyle w:val="Hyperlink"/>
                <w:noProof/>
              </w:rPr>
              <w:t>5.3</w:t>
            </w:r>
            <w:r w:rsidR="00C86CA7">
              <w:rPr>
                <w:noProof/>
                <w:lang w:eastAsia="en-NZ"/>
              </w:rPr>
              <w:tab/>
            </w:r>
            <w:r w:rsidR="00C86CA7" w:rsidRPr="00EC5C85">
              <w:rPr>
                <w:rStyle w:val="Hyperlink"/>
                <w:noProof/>
              </w:rPr>
              <w:t>Limiting unilateral variation and retrospective variation to grocery supply agreements</w:t>
            </w:r>
            <w:r w:rsidR="00C86CA7">
              <w:rPr>
                <w:noProof/>
                <w:webHidden/>
              </w:rPr>
              <w:tab/>
            </w:r>
            <w:r w:rsidR="00C86CA7">
              <w:rPr>
                <w:noProof/>
                <w:webHidden/>
              </w:rPr>
              <w:fldChar w:fldCharType="begin"/>
            </w:r>
            <w:r w:rsidR="00C86CA7">
              <w:rPr>
                <w:noProof/>
                <w:webHidden/>
              </w:rPr>
              <w:instrText xml:space="preserve"> PAGEREF _Toc107919638 \h </w:instrText>
            </w:r>
            <w:r w:rsidR="00C86CA7">
              <w:rPr>
                <w:noProof/>
                <w:webHidden/>
              </w:rPr>
            </w:r>
            <w:r w:rsidR="00C86CA7">
              <w:rPr>
                <w:noProof/>
                <w:webHidden/>
              </w:rPr>
              <w:fldChar w:fldCharType="separate"/>
            </w:r>
            <w:r w:rsidR="008D0C1F">
              <w:rPr>
                <w:noProof/>
                <w:webHidden/>
              </w:rPr>
              <w:t>30</w:t>
            </w:r>
            <w:r w:rsidR="00C86CA7">
              <w:rPr>
                <w:noProof/>
                <w:webHidden/>
              </w:rPr>
              <w:fldChar w:fldCharType="end"/>
            </w:r>
          </w:hyperlink>
        </w:p>
        <w:p w14:paraId="40412DFF" w14:textId="473AA751" w:rsidR="00C86CA7" w:rsidRDefault="0074633B">
          <w:pPr>
            <w:pStyle w:val="TOC2"/>
            <w:tabs>
              <w:tab w:val="left" w:pos="1100"/>
            </w:tabs>
            <w:rPr>
              <w:noProof/>
              <w:lang w:eastAsia="en-NZ"/>
            </w:rPr>
          </w:pPr>
          <w:hyperlink w:anchor="_Toc107919639" w:history="1">
            <w:r w:rsidR="00C86CA7" w:rsidRPr="00EC5C85">
              <w:rPr>
                <w:rStyle w:val="Hyperlink"/>
                <w:noProof/>
              </w:rPr>
              <w:t>5.4</w:t>
            </w:r>
            <w:r w:rsidR="00C86CA7">
              <w:rPr>
                <w:noProof/>
                <w:lang w:eastAsia="en-NZ"/>
              </w:rPr>
              <w:tab/>
            </w:r>
            <w:r w:rsidR="00C86CA7" w:rsidRPr="00EC5C85">
              <w:rPr>
                <w:rStyle w:val="Hyperlink"/>
                <w:noProof/>
              </w:rPr>
              <w:t>Preliminary options analysis</w:t>
            </w:r>
            <w:r w:rsidR="00C86CA7">
              <w:rPr>
                <w:noProof/>
                <w:webHidden/>
              </w:rPr>
              <w:tab/>
            </w:r>
            <w:r w:rsidR="00C86CA7">
              <w:rPr>
                <w:noProof/>
                <w:webHidden/>
              </w:rPr>
              <w:fldChar w:fldCharType="begin"/>
            </w:r>
            <w:r w:rsidR="00C86CA7">
              <w:rPr>
                <w:noProof/>
                <w:webHidden/>
              </w:rPr>
              <w:instrText xml:space="preserve"> PAGEREF _Toc107919639 \h </w:instrText>
            </w:r>
            <w:r w:rsidR="00C86CA7">
              <w:rPr>
                <w:noProof/>
                <w:webHidden/>
              </w:rPr>
            </w:r>
            <w:r w:rsidR="00C86CA7">
              <w:rPr>
                <w:noProof/>
                <w:webHidden/>
              </w:rPr>
              <w:fldChar w:fldCharType="separate"/>
            </w:r>
            <w:r w:rsidR="008D0C1F">
              <w:rPr>
                <w:noProof/>
                <w:webHidden/>
              </w:rPr>
              <w:t>31</w:t>
            </w:r>
            <w:r w:rsidR="00C86CA7">
              <w:rPr>
                <w:noProof/>
                <w:webHidden/>
              </w:rPr>
              <w:fldChar w:fldCharType="end"/>
            </w:r>
          </w:hyperlink>
        </w:p>
        <w:p w14:paraId="1F8E5B04" w14:textId="7C8CA4D0" w:rsidR="00C86CA7" w:rsidRDefault="0074633B">
          <w:pPr>
            <w:pStyle w:val="TOC2"/>
            <w:tabs>
              <w:tab w:val="left" w:pos="1100"/>
            </w:tabs>
            <w:rPr>
              <w:noProof/>
              <w:lang w:eastAsia="en-NZ"/>
            </w:rPr>
          </w:pPr>
          <w:hyperlink w:anchor="_Toc107919640" w:history="1">
            <w:r w:rsidR="00C86CA7" w:rsidRPr="00EC5C85">
              <w:rPr>
                <w:rStyle w:val="Hyperlink"/>
                <w:noProof/>
              </w:rPr>
              <w:t>5.5</w:t>
            </w:r>
            <w:r w:rsidR="00C86CA7">
              <w:rPr>
                <w:noProof/>
                <w:lang w:eastAsia="en-NZ"/>
              </w:rPr>
              <w:tab/>
            </w:r>
            <w:r w:rsidR="00C86CA7" w:rsidRPr="00EC5C85">
              <w:rPr>
                <w:rStyle w:val="Hyperlink"/>
                <w:noProof/>
              </w:rPr>
              <w:t>Consultation questions</w:t>
            </w:r>
            <w:r w:rsidR="00C86CA7">
              <w:rPr>
                <w:noProof/>
                <w:webHidden/>
              </w:rPr>
              <w:tab/>
            </w:r>
            <w:r w:rsidR="00C86CA7">
              <w:rPr>
                <w:noProof/>
                <w:webHidden/>
              </w:rPr>
              <w:fldChar w:fldCharType="begin"/>
            </w:r>
            <w:r w:rsidR="00C86CA7">
              <w:rPr>
                <w:noProof/>
                <w:webHidden/>
              </w:rPr>
              <w:instrText xml:space="preserve"> PAGEREF _Toc107919640 \h </w:instrText>
            </w:r>
            <w:r w:rsidR="00C86CA7">
              <w:rPr>
                <w:noProof/>
                <w:webHidden/>
              </w:rPr>
            </w:r>
            <w:r w:rsidR="00C86CA7">
              <w:rPr>
                <w:noProof/>
                <w:webHidden/>
              </w:rPr>
              <w:fldChar w:fldCharType="separate"/>
            </w:r>
            <w:r w:rsidR="008D0C1F">
              <w:rPr>
                <w:noProof/>
                <w:webHidden/>
              </w:rPr>
              <w:t>32</w:t>
            </w:r>
            <w:r w:rsidR="00C86CA7">
              <w:rPr>
                <w:noProof/>
                <w:webHidden/>
              </w:rPr>
              <w:fldChar w:fldCharType="end"/>
            </w:r>
          </w:hyperlink>
        </w:p>
        <w:p w14:paraId="334677F4" w14:textId="00781DA7" w:rsidR="00C86CA7" w:rsidRDefault="0074633B">
          <w:pPr>
            <w:pStyle w:val="TOC1"/>
            <w:rPr>
              <w:b w:val="0"/>
              <w:noProof/>
              <w:lang w:eastAsia="en-NZ"/>
            </w:rPr>
          </w:pPr>
          <w:hyperlink w:anchor="_Toc107919641" w:history="1">
            <w:r w:rsidR="00C86CA7" w:rsidRPr="00EC5C85">
              <w:rPr>
                <w:rStyle w:val="Hyperlink"/>
                <w:noProof/>
              </w:rPr>
              <w:t>6</w:t>
            </w:r>
            <w:r w:rsidR="00C86CA7">
              <w:rPr>
                <w:b w:val="0"/>
                <w:noProof/>
                <w:lang w:eastAsia="en-NZ"/>
              </w:rPr>
              <w:tab/>
            </w:r>
            <w:r w:rsidR="00C86CA7" w:rsidRPr="00EC5C85">
              <w:rPr>
                <w:rStyle w:val="Hyperlink"/>
                <w:noProof/>
              </w:rPr>
              <w:t>Obligations in relation to product supply and placement</w:t>
            </w:r>
            <w:r w:rsidR="00C86CA7">
              <w:rPr>
                <w:noProof/>
                <w:webHidden/>
              </w:rPr>
              <w:tab/>
            </w:r>
            <w:r w:rsidR="00C86CA7">
              <w:rPr>
                <w:noProof/>
                <w:webHidden/>
              </w:rPr>
              <w:fldChar w:fldCharType="begin"/>
            </w:r>
            <w:r w:rsidR="00C86CA7">
              <w:rPr>
                <w:noProof/>
                <w:webHidden/>
              </w:rPr>
              <w:instrText xml:space="preserve"> PAGEREF _Toc107919641 \h </w:instrText>
            </w:r>
            <w:r w:rsidR="00C86CA7">
              <w:rPr>
                <w:noProof/>
                <w:webHidden/>
              </w:rPr>
            </w:r>
            <w:r w:rsidR="00C86CA7">
              <w:rPr>
                <w:noProof/>
                <w:webHidden/>
              </w:rPr>
              <w:fldChar w:fldCharType="separate"/>
            </w:r>
            <w:r w:rsidR="008D0C1F">
              <w:rPr>
                <w:noProof/>
                <w:webHidden/>
              </w:rPr>
              <w:t>33</w:t>
            </w:r>
            <w:r w:rsidR="00C86CA7">
              <w:rPr>
                <w:noProof/>
                <w:webHidden/>
              </w:rPr>
              <w:fldChar w:fldCharType="end"/>
            </w:r>
          </w:hyperlink>
        </w:p>
        <w:p w14:paraId="31749AC4" w14:textId="3E4BE8F0" w:rsidR="00C86CA7" w:rsidRDefault="0074633B">
          <w:pPr>
            <w:pStyle w:val="TOC2"/>
            <w:tabs>
              <w:tab w:val="left" w:pos="1100"/>
            </w:tabs>
            <w:rPr>
              <w:noProof/>
              <w:lang w:eastAsia="en-NZ"/>
            </w:rPr>
          </w:pPr>
          <w:hyperlink w:anchor="_Toc107919642" w:history="1">
            <w:r w:rsidR="00C86CA7" w:rsidRPr="00EC5C85">
              <w:rPr>
                <w:rStyle w:val="Hyperlink"/>
                <w:noProof/>
              </w:rPr>
              <w:t>6.1</w:t>
            </w:r>
            <w:r w:rsidR="00C86CA7">
              <w:rPr>
                <w:noProof/>
                <w:lang w:eastAsia="en-NZ"/>
              </w:rPr>
              <w:tab/>
            </w:r>
            <w:r w:rsidR="00C86CA7" w:rsidRPr="00EC5C85">
              <w:rPr>
                <w:rStyle w:val="Hyperlink"/>
                <w:noProof/>
              </w:rPr>
              <w:t>Approach to this issue</w:t>
            </w:r>
            <w:r w:rsidR="00C86CA7">
              <w:rPr>
                <w:noProof/>
                <w:webHidden/>
              </w:rPr>
              <w:tab/>
            </w:r>
            <w:r w:rsidR="00C86CA7">
              <w:rPr>
                <w:noProof/>
                <w:webHidden/>
              </w:rPr>
              <w:fldChar w:fldCharType="begin"/>
            </w:r>
            <w:r w:rsidR="00C86CA7">
              <w:rPr>
                <w:noProof/>
                <w:webHidden/>
              </w:rPr>
              <w:instrText xml:space="preserve"> PAGEREF _Toc107919642 \h </w:instrText>
            </w:r>
            <w:r w:rsidR="00C86CA7">
              <w:rPr>
                <w:noProof/>
                <w:webHidden/>
              </w:rPr>
            </w:r>
            <w:r w:rsidR="00C86CA7">
              <w:rPr>
                <w:noProof/>
                <w:webHidden/>
              </w:rPr>
              <w:fldChar w:fldCharType="separate"/>
            </w:r>
            <w:r w:rsidR="008D0C1F">
              <w:rPr>
                <w:noProof/>
                <w:webHidden/>
              </w:rPr>
              <w:t>33</w:t>
            </w:r>
            <w:r w:rsidR="00C86CA7">
              <w:rPr>
                <w:noProof/>
                <w:webHidden/>
              </w:rPr>
              <w:fldChar w:fldCharType="end"/>
            </w:r>
          </w:hyperlink>
        </w:p>
        <w:p w14:paraId="616223D9" w14:textId="444B3ECA" w:rsidR="00C86CA7" w:rsidRDefault="0074633B">
          <w:pPr>
            <w:pStyle w:val="TOC2"/>
            <w:tabs>
              <w:tab w:val="left" w:pos="1100"/>
            </w:tabs>
            <w:rPr>
              <w:noProof/>
              <w:lang w:eastAsia="en-NZ"/>
            </w:rPr>
          </w:pPr>
          <w:hyperlink w:anchor="_Toc107919643" w:history="1">
            <w:r w:rsidR="00C86CA7" w:rsidRPr="00EC5C85">
              <w:rPr>
                <w:rStyle w:val="Hyperlink"/>
                <w:noProof/>
              </w:rPr>
              <w:t>6.2</w:t>
            </w:r>
            <w:r w:rsidR="00C86CA7">
              <w:rPr>
                <w:noProof/>
                <w:lang w:eastAsia="en-NZ"/>
              </w:rPr>
              <w:tab/>
            </w:r>
            <w:r w:rsidR="00C86CA7" w:rsidRPr="00EC5C85">
              <w:rPr>
                <w:rStyle w:val="Hyperlink"/>
                <w:noProof/>
              </w:rPr>
              <w:t>Changes in supply chain processes and logistics services</w:t>
            </w:r>
            <w:r w:rsidR="00C86CA7">
              <w:rPr>
                <w:noProof/>
                <w:webHidden/>
              </w:rPr>
              <w:tab/>
            </w:r>
            <w:r w:rsidR="00C86CA7">
              <w:rPr>
                <w:noProof/>
                <w:webHidden/>
              </w:rPr>
              <w:fldChar w:fldCharType="begin"/>
            </w:r>
            <w:r w:rsidR="00C86CA7">
              <w:rPr>
                <w:noProof/>
                <w:webHidden/>
              </w:rPr>
              <w:instrText xml:space="preserve"> PAGEREF _Toc107919643 \h </w:instrText>
            </w:r>
            <w:r w:rsidR="00C86CA7">
              <w:rPr>
                <w:noProof/>
                <w:webHidden/>
              </w:rPr>
            </w:r>
            <w:r w:rsidR="00C86CA7">
              <w:rPr>
                <w:noProof/>
                <w:webHidden/>
              </w:rPr>
              <w:fldChar w:fldCharType="separate"/>
            </w:r>
            <w:r w:rsidR="008D0C1F">
              <w:rPr>
                <w:noProof/>
                <w:webHidden/>
              </w:rPr>
              <w:t>33</w:t>
            </w:r>
            <w:r w:rsidR="00C86CA7">
              <w:rPr>
                <w:noProof/>
                <w:webHidden/>
              </w:rPr>
              <w:fldChar w:fldCharType="end"/>
            </w:r>
          </w:hyperlink>
        </w:p>
        <w:p w14:paraId="0D062316" w14:textId="4D3C23F7" w:rsidR="00C86CA7" w:rsidRDefault="0074633B">
          <w:pPr>
            <w:pStyle w:val="TOC2"/>
            <w:tabs>
              <w:tab w:val="left" w:pos="1100"/>
            </w:tabs>
            <w:rPr>
              <w:noProof/>
              <w:lang w:eastAsia="en-NZ"/>
            </w:rPr>
          </w:pPr>
          <w:hyperlink w:anchor="_Toc107919644" w:history="1">
            <w:r w:rsidR="00C86CA7" w:rsidRPr="00EC5C85">
              <w:rPr>
                <w:rStyle w:val="Hyperlink"/>
                <w:noProof/>
              </w:rPr>
              <w:t>6.3</w:t>
            </w:r>
            <w:r w:rsidR="00C86CA7">
              <w:rPr>
                <w:noProof/>
                <w:lang w:eastAsia="en-NZ"/>
              </w:rPr>
              <w:tab/>
            </w:r>
            <w:r w:rsidR="00C86CA7" w:rsidRPr="00EC5C85">
              <w:rPr>
                <w:rStyle w:val="Hyperlink"/>
                <w:noProof/>
              </w:rPr>
              <w:t>Fresh produce standards and quality specifications</w:t>
            </w:r>
            <w:r w:rsidR="00C86CA7">
              <w:rPr>
                <w:noProof/>
                <w:webHidden/>
              </w:rPr>
              <w:tab/>
            </w:r>
            <w:r w:rsidR="00C86CA7">
              <w:rPr>
                <w:noProof/>
                <w:webHidden/>
              </w:rPr>
              <w:fldChar w:fldCharType="begin"/>
            </w:r>
            <w:r w:rsidR="00C86CA7">
              <w:rPr>
                <w:noProof/>
                <w:webHidden/>
              </w:rPr>
              <w:instrText xml:space="preserve"> PAGEREF _Toc107919644 \h </w:instrText>
            </w:r>
            <w:r w:rsidR="00C86CA7">
              <w:rPr>
                <w:noProof/>
                <w:webHidden/>
              </w:rPr>
            </w:r>
            <w:r w:rsidR="00C86CA7">
              <w:rPr>
                <w:noProof/>
                <w:webHidden/>
              </w:rPr>
              <w:fldChar w:fldCharType="separate"/>
            </w:r>
            <w:r w:rsidR="008D0C1F">
              <w:rPr>
                <w:noProof/>
                <w:webHidden/>
              </w:rPr>
              <w:t>35</w:t>
            </w:r>
            <w:r w:rsidR="00C86CA7">
              <w:rPr>
                <w:noProof/>
                <w:webHidden/>
              </w:rPr>
              <w:fldChar w:fldCharType="end"/>
            </w:r>
          </w:hyperlink>
        </w:p>
        <w:p w14:paraId="3F7CC202" w14:textId="0A36558D" w:rsidR="00C86CA7" w:rsidRDefault="0074633B">
          <w:pPr>
            <w:pStyle w:val="TOC2"/>
            <w:tabs>
              <w:tab w:val="left" w:pos="1100"/>
            </w:tabs>
            <w:rPr>
              <w:noProof/>
              <w:lang w:eastAsia="en-NZ"/>
            </w:rPr>
          </w:pPr>
          <w:hyperlink w:anchor="_Toc107919645" w:history="1">
            <w:r w:rsidR="00C86CA7" w:rsidRPr="00EC5C85">
              <w:rPr>
                <w:rStyle w:val="Hyperlink"/>
                <w:noProof/>
              </w:rPr>
              <w:t>6.4</w:t>
            </w:r>
            <w:r w:rsidR="00C86CA7">
              <w:rPr>
                <w:noProof/>
                <w:lang w:eastAsia="en-NZ"/>
              </w:rPr>
              <w:tab/>
            </w:r>
            <w:r w:rsidR="00C86CA7" w:rsidRPr="00EC5C85">
              <w:rPr>
                <w:rStyle w:val="Hyperlink"/>
                <w:noProof/>
              </w:rPr>
              <w:t>Obligations in relation to product ranging, shelf allocation, and delisting</w:t>
            </w:r>
            <w:r w:rsidR="00C86CA7">
              <w:rPr>
                <w:noProof/>
                <w:webHidden/>
              </w:rPr>
              <w:tab/>
            </w:r>
            <w:r w:rsidR="00C86CA7">
              <w:rPr>
                <w:noProof/>
                <w:webHidden/>
              </w:rPr>
              <w:fldChar w:fldCharType="begin"/>
            </w:r>
            <w:r w:rsidR="00C86CA7">
              <w:rPr>
                <w:noProof/>
                <w:webHidden/>
              </w:rPr>
              <w:instrText xml:space="preserve"> PAGEREF _Toc107919645 \h </w:instrText>
            </w:r>
            <w:r w:rsidR="00C86CA7">
              <w:rPr>
                <w:noProof/>
                <w:webHidden/>
              </w:rPr>
            </w:r>
            <w:r w:rsidR="00C86CA7">
              <w:rPr>
                <w:noProof/>
                <w:webHidden/>
              </w:rPr>
              <w:fldChar w:fldCharType="separate"/>
            </w:r>
            <w:r w:rsidR="008D0C1F">
              <w:rPr>
                <w:noProof/>
                <w:webHidden/>
              </w:rPr>
              <w:t>36</w:t>
            </w:r>
            <w:r w:rsidR="00C86CA7">
              <w:rPr>
                <w:noProof/>
                <w:webHidden/>
              </w:rPr>
              <w:fldChar w:fldCharType="end"/>
            </w:r>
          </w:hyperlink>
        </w:p>
        <w:p w14:paraId="302B975A" w14:textId="08730448" w:rsidR="00C86CA7" w:rsidRDefault="0074633B">
          <w:pPr>
            <w:pStyle w:val="TOC2"/>
            <w:tabs>
              <w:tab w:val="left" w:pos="1100"/>
            </w:tabs>
            <w:rPr>
              <w:noProof/>
              <w:lang w:eastAsia="en-NZ"/>
            </w:rPr>
          </w:pPr>
          <w:hyperlink w:anchor="_Toc107919646" w:history="1">
            <w:r w:rsidR="00C86CA7" w:rsidRPr="00EC5C85">
              <w:rPr>
                <w:rStyle w:val="Hyperlink"/>
                <w:noProof/>
              </w:rPr>
              <w:t>6.5</w:t>
            </w:r>
            <w:r w:rsidR="00C86CA7">
              <w:rPr>
                <w:noProof/>
                <w:lang w:eastAsia="en-NZ"/>
              </w:rPr>
              <w:tab/>
            </w:r>
            <w:r w:rsidR="00C86CA7" w:rsidRPr="00EC5C85">
              <w:rPr>
                <w:rStyle w:val="Hyperlink"/>
                <w:noProof/>
              </w:rPr>
              <w:t>Other obligations</w:t>
            </w:r>
            <w:r w:rsidR="00C86CA7">
              <w:rPr>
                <w:noProof/>
                <w:webHidden/>
              </w:rPr>
              <w:tab/>
            </w:r>
            <w:r w:rsidR="00C86CA7">
              <w:rPr>
                <w:noProof/>
                <w:webHidden/>
              </w:rPr>
              <w:fldChar w:fldCharType="begin"/>
            </w:r>
            <w:r w:rsidR="00C86CA7">
              <w:rPr>
                <w:noProof/>
                <w:webHidden/>
              </w:rPr>
              <w:instrText xml:space="preserve"> PAGEREF _Toc107919646 \h </w:instrText>
            </w:r>
            <w:r w:rsidR="00C86CA7">
              <w:rPr>
                <w:noProof/>
                <w:webHidden/>
              </w:rPr>
            </w:r>
            <w:r w:rsidR="00C86CA7">
              <w:rPr>
                <w:noProof/>
                <w:webHidden/>
              </w:rPr>
              <w:fldChar w:fldCharType="separate"/>
            </w:r>
            <w:r w:rsidR="008D0C1F">
              <w:rPr>
                <w:noProof/>
                <w:webHidden/>
              </w:rPr>
              <w:t>39</w:t>
            </w:r>
            <w:r w:rsidR="00C86CA7">
              <w:rPr>
                <w:noProof/>
                <w:webHidden/>
              </w:rPr>
              <w:fldChar w:fldCharType="end"/>
            </w:r>
          </w:hyperlink>
        </w:p>
        <w:p w14:paraId="135A1C42" w14:textId="76611253" w:rsidR="00C86CA7" w:rsidRDefault="0074633B">
          <w:pPr>
            <w:pStyle w:val="TOC2"/>
            <w:tabs>
              <w:tab w:val="left" w:pos="1100"/>
            </w:tabs>
            <w:rPr>
              <w:noProof/>
              <w:lang w:eastAsia="en-NZ"/>
            </w:rPr>
          </w:pPr>
          <w:hyperlink w:anchor="_Toc107919647" w:history="1">
            <w:r w:rsidR="00C86CA7" w:rsidRPr="00EC5C85">
              <w:rPr>
                <w:rStyle w:val="Hyperlink"/>
                <w:noProof/>
              </w:rPr>
              <w:t>6.6</w:t>
            </w:r>
            <w:r w:rsidR="00C86CA7">
              <w:rPr>
                <w:noProof/>
                <w:lang w:eastAsia="en-NZ"/>
              </w:rPr>
              <w:tab/>
            </w:r>
            <w:r w:rsidR="00C86CA7" w:rsidRPr="00EC5C85">
              <w:rPr>
                <w:rStyle w:val="Hyperlink"/>
                <w:noProof/>
              </w:rPr>
              <w:t>Options analysis</w:t>
            </w:r>
            <w:r w:rsidR="00C86CA7">
              <w:rPr>
                <w:noProof/>
                <w:webHidden/>
              </w:rPr>
              <w:tab/>
            </w:r>
            <w:r w:rsidR="00C86CA7">
              <w:rPr>
                <w:noProof/>
                <w:webHidden/>
              </w:rPr>
              <w:fldChar w:fldCharType="begin"/>
            </w:r>
            <w:r w:rsidR="00C86CA7">
              <w:rPr>
                <w:noProof/>
                <w:webHidden/>
              </w:rPr>
              <w:instrText xml:space="preserve"> PAGEREF _Toc107919647 \h </w:instrText>
            </w:r>
            <w:r w:rsidR="00C86CA7">
              <w:rPr>
                <w:noProof/>
                <w:webHidden/>
              </w:rPr>
            </w:r>
            <w:r w:rsidR="00C86CA7">
              <w:rPr>
                <w:noProof/>
                <w:webHidden/>
              </w:rPr>
              <w:fldChar w:fldCharType="separate"/>
            </w:r>
            <w:r w:rsidR="008D0C1F">
              <w:rPr>
                <w:noProof/>
                <w:webHidden/>
              </w:rPr>
              <w:t>40</w:t>
            </w:r>
            <w:r w:rsidR="00C86CA7">
              <w:rPr>
                <w:noProof/>
                <w:webHidden/>
              </w:rPr>
              <w:fldChar w:fldCharType="end"/>
            </w:r>
          </w:hyperlink>
        </w:p>
        <w:p w14:paraId="02FACB2D" w14:textId="424E7FD7" w:rsidR="00C86CA7" w:rsidRDefault="0074633B">
          <w:pPr>
            <w:pStyle w:val="TOC2"/>
            <w:tabs>
              <w:tab w:val="left" w:pos="1100"/>
            </w:tabs>
            <w:rPr>
              <w:noProof/>
              <w:lang w:eastAsia="en-NZ"/>
            </w:rPr>
          </w:pPr>
          <w:hyperlink w:anchor="_Toc107919648" w:history="1">
            <w:r w:rsidR="00C86CA7" w:rsidRPr="00EC5C85">
              <w:rPr>
                <w:rStyle w:val="Hyperlink"/>
                <w:noProof/>
              </w:rPr>
              <w:t>6.7</w:t>
            </w:r>
            <w:r w:rsidR="00C86CA7">
              <w:rPr>
                <w:noProof/>
                <w:lang w:eastAsia="en-NZ"/>
              </w:rPr>
              <w:tab/>
            </w:r>
            <w:r w:rsidR="00C86CA7" w:rsidRPr="00EC5C85">
              <w:rPr>
                <w:rStyle w:val="Hyperlink"/>
                <w:noProof/>
              </w:rPr>
              <w:t>Consultation questions</w:t>
            </w:r>
            <w:r w:rsidR="00C86CA7">
              <w:rPr>
                <w:noProof/>
                <w:webHidden/>
              </w:rPr>
              <w:tab/>
            </w:r>
            <w:r w:rsidR="00C86CA7">
              <w:rPr>
                <w:noProof/>
                <w:webHidden/>
              </w:rPr>
              <w:fldChar w:fldCharType="begin"/>
            </w:r>
            <w:r w:rsidR="00C86CA7">
              <w:rPr>
                <w:noProof/>
                <w:webHidden/>
              </w:rPr>
              <w:instrText xml:space="preserve"> PAGEREF _Toc107919648 \h </w:instrText>
            </w:r>
            <w:r w:rsidR="00C86CA7">
              <w:rPr>
                <w:noProof/>
                <w:webHidden/>
              </w:rPr>
            </w:r>
            <w:r w:rsidR="00C86CA7">
              <w:rPr>
                <w:noProof/>
                <w:webHidden/>
              </w:rPr>
              <w:fldChar w:fldCharType="separate"/>
            </w:r>
            <w:r w:rsidR="008D0C1F">
              <w:rPr>
                <w:noProof/>
                <w:webHidden/>
              </w:rPr>
              <w:t>42</w:t>
            </w:r>
            <w:r w:rsidR="00C86CA7">
              <w:rPr>
                <w:noProof/>
                <w:webHidden/>
              </w:rPr>
              <w:fldChar w:fldCharType="end"/>
            </w:r>
          </w:hyperlink>
        </w:p>
        <w:p w14:paraId="6A511D7D" w14:textId="6FF69406" w:rsidR="00C86CA7" w:rsidRDefault="0074633B">
          <w:pPr>
            <w:pStyle w:val="TOC1"/>
            <w:rPr>
              <w:b w:val="0"/>
              <w:noProof/>
              <w:lang w:eastAsia="en-NZ"/>
            </w:rPr>
          </w:pPr>
          <w:hyperlink w:anchor="_Toc107919649" w:history="1">
            <w:r w:rsidR="00C86CA7" w:rsidRPr="00EC5C85">
              <w:rPr>
                <w:rStyle w:val="Hyperlink"/>
                <w:noProof/>
              </w:rPr>
              <w:t>7</w:t>
            </w:r>
            <w:r w:rsidR="00C86CA7">
              <w:rPr>
                <w:b w:val="0"/>
                <w:noProof/>
                <w:lang w:eastAsia="en-NZ"/>
              </w:rPr>
              <w:tab/>
            </w:r>
            <w:r w:rsidR="00C86CA7" w:rsidRPr="00EC5C85">
              <w:rPr>
                <w:rStyle w:val="Hyperlink"/>
                <w:noProof/>
              </w:rPr>
              <w:t>Obligations in relation to payment, price increases, and promotions</w:t>
            </w:r>
            <w:r w:rsidR="00C86CA7">
              <w:rPr>
                <w:noProof/>
                <w:webHidden/>
              </w:rPr>
              <w:tab/>
            </w:r>
            <w:r w:rsidR="00C86CA7">
              <w:rPr>
                <w:noProof/>
                <w:webHidden/>
              </w:rPr>
              <w:fldChar w:fldCharType="begin"/>
            </w:r>
            <w:r w:rsidR="00C86CA7">
              <w:rPr>
                <w:noProof/>
                <w:webHidden/>
              </w:rPr>
              <w:instrText xml:space="preserve"> PAGEREF _Toc107919649 \h </w:instrText>
            </w:r>
            <w:r w:rsidR="00C86CA7">
              <w:rPr>
                <w:noProof/>
                <w:webHidden/>
              </w:rPr>
            </w:r>
            <w:r w:rsidR="00C86CA7">
              <w:rPr>
                <w:noProof/>
                <w:webHidden/>
              </w:rPr>
              <w:fldChar w:fldCharType="separate"/>
            </w:r>
            <w:r w:rsidR="008D0C1F">
              <w:rPr>
                <w:noProof/>
                <w:webHidden/>
              </w:rPr>
              <w:t>43</w:t>
            </w:r>
            <w:r w:rsidR="00C86CA7">
              <w:rPr>
                <w:noProof/>
                <w:webHidden/>
              </w:rPr>
              <w:fldChar w:fldCharType="end"/>
            </w:r>
          </w:hyperlink>
        </w:p>
        <w:p w14:paraId="44E541B1" w14:textId="5B89CD0B" w:rsidR="00C86CA7" w:rsidRDefault="0074633B">
          <w:pPr>
            <w:pStyle w:val="TOC2"/>
            <w:tabs>
              <w:tab w:val="left" w:pos="1100"/>
            </w:tabs>
            <w:rPr>
              <w:noProof/>
              <w:lang w:eastAsia="en-NZ"/>
            </w:rPr>
          </w:pPr>
          <w:hyperlink w:anchor="_Toc107919650" w:history="1">
            <w:r w:rsidR="00C86CA7" w:rsidRPr="00EC5C85">
              <w:rPr>
                <w:rStyle w:val="Hyperlink"/>
                <w:noProof/>
              </w:rPr>
              <w:t>7.1</w:t>
            </w:r>
            <w:r w:rsidR="00C86CA7">
              <w:rPr>
                <w:noProof/>
                <w:lang w:eastAsia="en-NZ"/>
              </w:rPr>
              <w:tab/>
            </w:r>
            <w:r w:rsidR="00C86CA7" w:rsidRPr="00EC5C85">
              <w:rPr>
                <w:rStyle w:val="Hyperlink"/>
                <w:noProof/>
              </w:rPr>
              <w:t>Approach to this issue</w:t>
            </w:r>
            <w:r w:rsidR="00C86CA7">
              <w:rPr>
                <w:noProof/>
                <w:webHidden/>
              </w:rPr>
              <w:tab/>
            </w:r>
            <w:r w:rsidR="00C86CA7">
              <w:rPr>
                <w:noProof/>
                <w:webHidden/>
              </w:rPr>
              <w:fldChar w:fldCharType="begin"/>
            </w:r>
            <w:r w:rsidR="00C86CA7">
              <w:rPr>
                <w:noProof/>
                <w:webHidden/>
              </w:rPr>
              <w:instrText xml:space="preserve"> PAGEREF _Toc107919650 \h </w:instrText>
            </w:r>
            <w:r w:rsidR="00C86CA7">
              <w:rPr>
                <w:noProof/>
                <w:webHidden/>
              </w:rPr>
            </w:r>
            <w:r w:rsidR="00C86CA7">
              <w:rPr>
                <w:noProof/>
                <w:webHidden/>
              </w:rPr>
              <w:fldChar w:fldCharType="separate"/>
            </w:r>
            <w:r w:rsidR="008D0C1F">
              <w:rPr>
                <w:noProof/>
                <w:webHidden/>
              </w:rPr>
              <w:t>43</w:t>
            </w:r>
            <w:r w:rsidR="00C86CA7">
              <w:rPr>
                <w:noProof/>
                <w:webHidden/>
              </w:rPr>
              <w:fldChar w:fldCharType="end"/>
            </w:r>
          </w:hyperlink>
        </w:p>
        <w:p w14:paraId="2A1608C1" w14:textId="28C6EE06" w:rsidR="00C86CA7" w:rsidRDefault="0074633B">
          <w:pPr>
            <w:pStyle w:val="TOC2"/>
            <w:tabs>
              <w:tab w:val="left" w:pos="1100"/>
            </w:tabs>
            <w:rPr>
              <w:noProof/>
              <w:lang w:eastAsia="en-NZ"/>
            </w:rPr>
          </w:pPr>
          <w:hyperlink w:anchor="_Toc107919651" w:history="1">
            <w:r w:rsidR="00C86CA7" w:rsidRPr="00EC5C85">
              <w:rPr>
                <w:rStyle w:val="Hyperlink"/>
                <w:noProof/>
              </w:rPr>
              <w:t>7.2</w:t>
            </w:r>
            <w:r w:rsidR="00C86CA7">
              <w:rPr>
                <w:noProof/>
                <w:lang w:eastAsia="en-NZ"/>
              </w:rPr>
              <w:tab/>
            </w:r>
            <w:r w:rsidR="00C86CA7" w:rsidRPr="00EC5C85">
              <w:rPr>
                <w:rStyle w:val="Hyperlink"/>
                <w:noProof/>
              </w:rPr>
              <w:t>Payment terms and set-offs</w:t>
            </w:r>
            <w:r w:rsidR="00C86CA7">
              <w:rPr>
                <w:noProof/>
                <w:webHidden/>
              </w:rPr>
              <w:tab/>
            </w:r>
            <w:r w:rsidR="00C86CA7">
              <w:rPr>
                <w:noProof/>
                <w:webHidden/>
              </w:rPr>
              <w:fldChar w:fldCharType="begin"/>
            </w:r>
            <w:r w:rsidR="00C86CA7">
              <w:rPr>
                <w:noProof/>
                <w:webHidden/>
              </w:rPr>
              <w:instrText xml:space="preserve"> PAGEREF _Toc107919651 \h </w:instrText>
            </w:r>
            <w:r w:rsidR="00C86CA7">
              <w:rPr>
                <w:noProof/>
                <w:webHidden/>
              </w:rPr>
            </w:r>
            <w:r w:rsidR="00C86CA7">
              <w:rPr>
                <w:noProof/>
                <w:webHidden/>
              </w:rPr>
              <w:fldChar w:fldCharType="separate"/>
            </w:r>
            <w:r w:rsidR="008D0C1F">
              <w:rPr>
                <w:noProof/>
                <w:webHidden/>
              </w:rPr>
              <w:t>43</w:t>
            </w:r>
            <w:r w:rsidR="00C86CA7">
              <w:rPr>
                <w:noProof/>
                <w:webHidden/>
              </w:rPr>
              <w:fldChar w:fldCharType="end"/>
            </w:r>
          </w:hyperlink>
        </w:p>
        <w:p w14:paraId="2A5AABB5" w14:textId="69543EF3" w:rsidR="00C86CA7" w:rsidRDefault="0074633B">
          <w:pPr>
            <w:pStyle w:val="TOC2"/>
            <w:tabs>
              <w:tab w:val="left" w:pos="1100"/>
            </w:tabs>
            <w:rPr>
              <w:noProof/>
              <w:lang w:eastAsia="en-NZ"/>
            </w:rPr>
          </w:pPr>
          <w:hyperlink w:anchor="_Toc107919652" w:history="1">
            <w:r w:rsidR="00C86CA7" w:rsidRPr="00EC5C85">
              <w:rPr>
                <w:rStyle w:val="Hyperlink"/>
                <w:noProof/>
              </w:rPr>
              <w:t>7.3</w:t>
            </w:r>
            <w:r w:rsidR="00C86CA7">
              <w:rPr>
                <w:noProof/>
                <w:lang w:eastAsia="en-NZ"/>
              </w:rPr>
              <w:tab/>
            </w:r>
            <w:r w:rsidR="00C86CA7" w:rsidRPr="00EC5C85">
              <w:rPr>
                <w:rStyle w:val="Hyperlink"/>
                <w:noProof/>
              </w:rPr>
              <w:t>Responses to price increases</w:t>
            </w:r>
            <w:r w:rsidR="00C86CA7">
              <w:rPr>
                <w:noProof/>
                <w:webHidden/>
              </w:rPr>
              <w:tab/>
            </w:r>
            <w:r w:rsidR="00C86CA7">
              <w:rPr>
                <w:noProof/>
                <w:webHidden/>
              </w:rPr>
              <w:fldChar w:fldCharType="begin"/>
            </w:r>
            <w:r w:rsidR="00C86CA7">
              <w:rPr>
                <w:noProof/>
                <w:webHidden/>
              </w:rPr>
              <w:instrText xml:space="preserve"> PAGEREF _Toc107919652 \h </w:instrText>
            </w:r>
            <w:r w:rsidR="00C86CA7">
              <w:rPr>
                <w:noProof/>
                <w:webHidden/>
              </w:rPr>
            </w:r>
            <w:r w:rsidR="00C86CA7">
              <w:rPr>
                <w:noProof/>
                <w:webHidden/>
              </w:rPr>
              <w:fldChar w:fldCharType="separate"/>
            </w:r>
            <w:r w:rsidR="008D0C1F">
              <w:rPr>
                <w:noProof/>
                <w:webHidden/>
              </w:rPr>
              <w:t>45</w:t>
            </w:r>
            <w:r w:rsidR="00C86CA7">
              <w:rPr>
                <w:noProof/>
                <w:webHidden/>
              </w:rPr>
              <w:fldChar w:fldCharType="end"/>
            </w:r>
          </w:hyperlink>
        </w:p>
        <w:p w14:paraId="7379FF30" w14:textId="755B1726" w:rsidR="00C86CA7" w:rsidRDefault="0074633B">
          <w:pPr>
            <w:pStyle w:val="TOC2"/>
            <w:tabs>
              <w:tab w:val="left" w:pos="1100"/>
            </w:tabs>
            <w:rPr>
              <w:noProof/>
              <w:lang w:eastAsia="en-NZ"/>
            </w:rPr>
          </w:pPr>
          <w:hyperlink w:anchor="_Toc107919653" w:history="1">
            <w:r w:rsidR="00C86CA7" w:rsidRPr="00EC5C85">
              <w:rPr>
                <w:rStyle w:val="Hyperlink"/>
                <w:noProof/>
              </w:rPr>
              <w:t>7.4</w:t>
            </w:r>
            <w:r w:rsidR="00C86CA7">
              <w:rPr>
                <w:noProof/>
                <w:lang w:eastAsia="en-NZ"/>
              </w:rPr>
              <w:tab/>
            </w:r>
            <w:r w:rsidR="00C86CA7" w:rsidRPr="00EC5C85">
              <w:rPr>
                <w:rStyle w:val="Hyperlink"/>
                <w:noProof/>
              </w:rPr>
              <w:t>Payments for shrinkage and wastage</w:t>
            </w:r>
            <w:r w:rsidR="00C86CA7">
              <w:rPr>
                <w:noProof/>
                <w:webHidden/>
              </w:rPr>
              <w:tab/>
            </w:r>
            <w:r w:rsidR="00C86CA7">
              <w:rPr>
                <w:noProof/>
                <w:webHidden/>
              </w:rPr>
              <w:fldChar w:fldCharType="begin"/>
            </w:r>
            <w:r w:rsidR="00C86CA7">
              <w:rPr>
                <w:noProof/>
                <w:webHidden/>
              </w:rPr>
              <w:instrText xml:space="preserve"> PAGEREF _Toc107919653 \h </w:instrText>
            </w:r>
            <w:r w:rsidR="00C86CA7">
              <w:rPr>
                <w:noProof/>
                <w:webHidden/>
              </w:rPr>
            </w:r>
            <w:r w:rsidR="00C86CA7">
              <w:rPr>
                <w:noProof/>
                <w:webHidden/>
              </w:rPr>
              <w:fldChar w:fldCharType="separate"/>
            </w:r>
            <w:r w:rsidR="008D0C1F">
              <w:rPr>
                <w:noProof/>
                <w:webHidden/>
              </w:rPr>
              <w:t>46</w:t>
            </w:r>
            <w:r w:rsidR="00C86CA7">
              <w:rPr>
                <w:noProof/>
                <w:webHidden/>
              </w:rPr>
              <w:fldChar w:fldCharType="end"/>
            </w:r>
          </w:hyperlink>
        </w:p>
        <w:p w14:paraId="2A3FDCBC" w14:textId="4600093F" w:rsidR="00C86CA7" w:rsidRDefault="0074633B">
          <w:pPr>
            <w:pStyle w:val="TOC2"/>
            <w:tabs>
              <w:tab w:val="left" w:pos="1100"/>
            </w:tabs>
            <w:rPr>
              <w:noProof/>
              <w:lang w:eastAsia="en-NZ"/>
            </w:rPr>
          </w:pPr>
          <w:hyperlink w:anchor="_Toc107919654" w:history="1">
            <w:r w:rsidR="00C86CA7" w:rsidRPr="00EC5C85">
              <w:rPr>
                <w:rStyle w:val="Hyperlink"/>
                <w:noProof/>
              </w:rPr>
              <w:t>7.5</w:t>
            </w:r>
            <w:r w:rsidR="00C86CA7">
              <w:rPr>
                <w:noProof/>
                <w:lang w:eastAsia="en-NZ"/>
              </w:rPr>
              <w:tab/>
            </w:r>
            <w:r w:rsidR="00C86CA7" w:rsidRPr="00EC5C85">
              <w:rPr>
                <w:rStyle w:val="Hyperlink"/>
                <w:noProof/>
              </w:rPr>
              <w:t>Payments for retailer’s business activities, product placement, and as a condition of being a supplier</w:t>
            </w:r>
            <w:r w:rsidR="00C86CA7">
              <w:rPr>
                <w:noProof/>
                <w:webHidden/>
              </w:rPr>
              <w:tab/>
            </w:r>
            <w:r w:rsidR="00C86CA7">
              <w:rPr>
                <w:noProof/>
                <w:webHidden/>
              </w:rPr>
              <w:fldChar w:fldCharType="begin"/>
            </w:r>
            <w:r w:rsidR="00C86CA7">
              <w:rPr>
                <w:noProof/>
                <w:webHidden/>
              </w:rPr>
              <w:instrText xml:space="preserve"> PAGEREF _Toc107919654 \h </w:instrText>
            </w:r>
            <w:r w:rsidR="00C86CA7">
              <w:rPr>
                <w:noProof/>
                <w:webHidden/>
              </w:rPr>
            </w:r>
            <w:r w:rsidR="00C86CA7">
              <w:rPr>
                <w:noProof/>
                <w:webHidden/>
              </w:rPr>
              <w:fldChar w:fldCharType="separate"/>
            </w:r>
            <w:r w:rsidR="008D0C1F">
              <w:rPr>
                <w:noProof/>
                <w:webHidden/>
              </w:rPr>
              <w:t>47</w:t>
            </w:r>
            <w:r w:rsidR="00C86CA7">
              <w:rPr>
                <w:noProof/>
                <w:webHidden/>
              </w:rPr>
              <w:fldChar w:fldCharType="end"/>
            </w:r>
          </w:hyperlink>
        </w:p>
        <w:p w14:paraId="6F03DB5B" w14:textId="76F1ECD5" w:rsidR="00C86CA7" w:rsidRDefault="0074633B">
          <w:pPr>
            <w:pStyle w:val="TOC2"/>
            <w:tabs>
              <w:tab w:val="left" w:pos="1100"/>
            </w:tabs>
            <w:rPr>
              <w:noProof/>
              <w:lang w:eastAsia="en-NZ"/>
            </w:rPr>
          </w:pPr>
          <w:hyperlink w:anchor="_Toc107919655" w:history="1">
            <w:r w:rsidR="00C86CA7" w:rsidRPr="00EC5C85">
              <w:rPr>
                <w:rStyle w:val="Hyperlink"/>
                <w:noProof/>
              </w:rPr>
              <w:t>7.6</w:t>
            </w:r>
            <w:r w:rsidR="00C86CA7">
              <w:rPr>
                <w:noProof/>
                <w:lang w:eastAsia="en-NZ"/>
              </w:rPr>
              <w:tab/>
            </w:r>
            <w:r w:rsidR="00C86CA7" w:rsidRPr="00EC5C85">
              <w:rPr>
                <w:rStyle w:val="Hyperlink"/>
                <w:noProof/>
              </w:rPr>
              <w:t>Payments for promotions and promotional buying</w:t>
            </w:r>
            <w:r w:rsidR="00C86CA7">
              <w:rPr>
                <w:noProof/>
                <w:webHidden/>
              </w:rPr>
              <w:tab/>
            </w:r>
            <w:r w:rsidR="00C86CA7">
              <w:rPr>
                <w:noProof/>
                <w:webHidden/>
              </w:rPr>
              <w:fldChar w:fldCharType="begin"/>
            </w:r>
            <w:r w:rsidR="00C86CA7">
              <w:rPr>
                <w:noProof/>
                <w:webHidden/>
              </w:rPr>
              <w:instrText xml:space="preserve"> PAGEREF _Toc107919655 \h </w:instrText>
            </w:r>
            <w:r w:rsidR="00C86CA7">
              <w:rPr>
                <w:noProof/>
                <w:webHidden/>
              </w:rPr>
            </w:r>
            <w:r w:rsidR="00C86CA7">
              <w:rPr>
                <w:noProof/>
                <w:webHidden/>
              </w:rPr>
              <w:fldChar w:fldCharType="separate"/>
            </w:r>
            <w:r w:rsidR="008D0C1F">
              <w:rPr>
                <w:noProof/>
                <w:webHidden/>
              </w:rPr>
              <w:t>49</w:t>
            </w:r>
            <w:r w:rsidR="00C86CA7">
              <w:rPr>
                <w:noProof/>
                <w:webHidden/>
              </w:rPr>
              <w:fldChar w:fldCharType="end"/>
            </w:r>
          </w:hyperlink>
        </w:p>
        <w:p w14:paraId="020321B5" w14:textId="35E70F16" w:rsidR="00C86CA7" w:rsidRDefault="0074633B">
          <w:pPr>
            <w:pStyle w:val="TOC2"/>
            <w:tabs>
              <w:tab w:val="left" w:pos="1100"/>
            </w:tabs>
            <w:rPr>
              <w:noProof/>
              <w:lang w:eastAsia="en-NZ"/>
            </w:rPr>
          </w:pPr>
          <w:hyperlink w:anchor="_Toc107919656" w:history="1">
            <w:r w:rsidR="00C86CA7" w:rsidRPr="00EC5C85">
              <w:rPr>
                <w:rStyle w:val="Hyperlink"/>
                <w:noProof/>
              </w:rPr>
              <w:t>7.7</w:t>
            </w:r>
            <w:r w:rsidR="00C86CA7">
              <w:rPr>
                <w:noProof/>
                <w:lang w:eastAsia="en-NZ"/>
              </w:rPr>
              <w:tab/>
            </w:r>
            <w:r w:rsidR="00C86CA7" w:rsidRPr="00EC5C85">
              <w:rPr>
                <w:rStyle w:val="Hyperlink"/>
                <w:noProof/>
              </w:rPr>
              <w:t>Other payments</w:t>
            </w:r>
            <w:r w:rsidR="00C86CA7">
              <w:rPr>
                <w:noProof/>
                <w:webHidden/>
              </w:rPr>
              <w:tab/>
            </w:r>
            <w:r w:rsidR="00C86CA7">
              <w:rPr>
                <w:noProof/>
                <w:webHidden/>
              </w:rPr>
              <w:fldChar w:fldCharType="begin"/>
            </w:r>
            <w:r w:rsidR="00C86CA7">
              <w:rPr>
                <w:noProof/>
                <w:webHidden/>
              </w:rPr>
              <w:instrText xml:space="preserve"> PAGEREF _Toc107919656 \h </w:instrText>
            </w:r>
            <w:r w:rsidR="00C86CA7">
              <w:rPr>
                <w:noProof/>
                <w:webHidden/>
              </w:rPr>
            </w:r>
            <w:r w:rsidR="00C86CA7">
              <w:rPr>
                <w:noProof/>
                <w:webHidden/>
              </w:rPr>
              <w:fldChar w:fldCharType="separate"/>
            </w:r>
            <w:r w:rsidR="008D0C1F">
              <w:rPr>
                <w:noProof/>
                <w:webHidden/>
              </w:rPr>
              <w:t>52</w:t>
            </w:r>
            <w:r w:rsidR="00C86CA7">
              <w:rPr>
                <w:noProof/>
                <w:webHidden/>
              </w:rPr>
              <w:fldChar w:fldCharType="end"/>
            </w:r>
          </w:hyperlink>
        </w:p>
        <w:p w14:paraId="4D30C2BE" w14:textId="6B76BE0B" w:rsidR="00C86CA7" w:rsidRDefault="0074633B">
          <w:pPr>
            <w:pStyle w:val="TOC2"/>
            <w:tabs>
              <w:tab w:val="left" w:pos="1100"/>
            </w:tabs>
            <w:rPr>
              <w:noProof/>
              <w:lang w:eastAsia="en-NZ"/>
            </w:rPr>
          </w:pPr>
          <w:hyperlink w:anchor="_Toc107919657" w:history="1">
            <w:r w:rsidR="00C86CA7" w:rsidRPr="00EC5C85">
              <w:rPr>
                <w:rStyle w:val="Hyperlink"/>
                <w:noProof/>
              </w:rPr>
              <w:t>7.8</w:t>
            </w:r>
            <w:r w:rsidR="00C86CA7">
              <w:rPr>
                <w:noProof/>
                <w:lang w:eastAsia="en-NZ"/>
              </w:rPr>
              <w:tab/>
            </w:r>
            <w:r w:rsidR="00C86CA7" w:rsidRPr="00EC5C85">
              <w:rPr>
                <w:rStyle w:val="Hyperlink"/>
                <w:noProof/>
              </w:rPr>
              <w:t>Preliminary options analysis</w:t>
            </w:r>
            <w:r w:rsidR="00C86CA7">
              <w:rPr>
                <w:noProof/>
                <w:webHidden/>
              </w:rPr>
              <w:tab/>
            </w:r>
            <w:r w:rsidR="00C86CA7">
              <w:rPr>
                <w:noProof/>
                <w:webHidden/>
              </w:rPr>
              <w:fldChar w:fldCharType="begin"/>
            </w:r>
            <w:r w:rsidR="00C86CA7">
              <w:rPr>
                <w:noProof/>
                <w:webHidden/>
              </w:rPr>
              <w:instrText xml:space="preserve"> PAGEREF _Toc107919657 \h </w:instrText>
            </w:r>
            <w:r w:rsidR="00C86CA7">
              <w:rPr>
                <w:noProof/>
                <w:webHidden/>
              </w:rPr>
            </w:r>
            <w:r w:rsidR="00C86CA7">
              <w:rPr>
                <w:noProof/>
                <w:webHidden/>
              </w:rPr>
              <w:fldChar w:fldCharType="separate"/>
            </w:r>
            <w:r w:rsidR="008D0C1F">
              <w:rPr>
                <w:noProof/>
                <w:webHidden/>
              </w:rPr>
              <w:t>52</w:t>
            </w:r>
            <w:r w:rsidR="00C86CA7">
              <w:rPr>
                <w:noProof/>
                <w:webHidden/>
              </w:rPr>
              <w:fldChar w:fldCharType="end"/>
            </w:r>
          </w:hyperlink>
        </w:p>
        <w:p w14:paraId="62ABD062" w14:textId="68CB2F6D" w:rsidR="00C86CA7" w:rsidRDefault="0074633B">
          <w:pPr>
            <w:pStyle w:val="TOC2"/>
            <w:tabs>
              <w:tab w:val="left" w:pos="1100"/>
            </w:tabs>
            <w:rPr>
              <w:noProof/>
              <w:lang w:eastAsia="en-NZ"/>
            </w:rPr>
          </w:pPr>
          <w:hyperlink w:anchor="_Toc107919658" w:history="1">
            <w:r w:rsidR="00C86CA7" w:rsidRPr="00EC5C85">
              <w:rPr>
                <w:rStyle w:val="Hyperlink"/>
                <w:noProof/>
              </w:rPr>
              <w:t>7.9</w:t>
            </w:r>
            <w:r w:rsidR="00C86CA7">
              <w:rPr>
                <w:noProof/>
                <w:lang w:eastAsia="en-NZ"/>
              </w:rPr>
              <w:tab/>
            </w:r>
            <w:r w:rsidR="00C86CA7" w:rsidRPr="00EC5C85">
              <w:rPr>
                <w:rStyle w:val="Hyperlink"/>
                <w:noProof/>
              </w:rPr>
              <w:t>Consultation questions</w:t>
            </w:r>
            <w:r w:rsidR="00C86CA7">
              <w:rPr>
                <w:noProof/>
                <w:webHidden/>
              </w:rPr>
              <w:tab/>
            </w:r>
            <w:r w:rsidR="00C86CA7">
              <w:rPr>
                <w:noProof/>
                <w:webHidden/>
              </w:rPr>
              <w:fldChar w:fldCharType="begin"/>
            </w:r>
            <w:r w:rsidR="00C86CA7">
              <w:rPr>
                <w:noProof/>
                <w:webHidden/>
              </w:rPr>
              <w:instrText xml:space="preserve"> PAGEREF _Toc107919658 \h </w:instrText>
            </w:r>
            <w:r w:rsidR="00C86CA7">
              <w:rPr>
                <w:noProof/>
                <w:webHidden/>
              </w:rPr>
            </w:r>
            <w:r w:rsidR="00C86CA7">
              <w:rPr>
                <w:noProof/>
                <w:webHidden/>
              </w:rPr>
              <w:fldChar w:fldCharType="separate"/>
            </w:r>
            <w:r w:rsidR="008D0C1F">
              <w:rPr>
                <w:noProof/>
                <w:webHidden/>
              </w:rPr>
              <w:t>54</w:t>
            </w:r>
            <w:r w:rsidR="00C86CA7">
              <w:rPr>
                <w:noProof/>
                <w:webHidden/>
              </w:rPr>
              <w:fldChar w:fldCharType="end"/>
            </w:r>
          </w:hyperlink>
        </w:p>
        <w:p w14:paraId="74663CE1" w14:textId="288FBEF3" w:rsidR="00C86CA7" w:rsidRDefault="0074633B">
          <w:pPr>
            <w:pStyle w:val="TOC1"/>
            <w:rPr>
              <w:b w:val="0"/>
              <w:noProof/>
              <w:lang w:eastAsia="en-NZ"/>
            </w:rPr>
          </w:pPr>
          <w:hyperlink w:anchor="_Toc107919659" w:history="1">
            <w:r w:rsidR="00C86CA7" w:rsidRPr="00EC5C85">
              <w:rPr>
                <w:rStyle w:val="Hyperlink"/>
                <w:noProof/>
              </w:rPr>
              <w:t>8</w:t>
            </w:r>
            <w:r w:rsidR="00C86CA7">
              <w:rPr>
                <w:b w:val="0"/>
                <w:noProof/>
                <w:lang w:eastAsia="en-NZ"/>
              </w:rPr>
              <w:tab/>
            </w:r>
            <w:r w:rsidR="00C86CA7" w:rsidRPr="00EC5C85">
              <w:rPr>
                <w:rStyle w:val="Hyperlink"/>
                <w:noProof/>
              </w:rPr>
              <w:t>Dispute Resolution</w:t>
            </w:r>
            <w:r w:rsidR="00C86CA7">
              <w:rPr>
                <w:noProof/>
                <w:webHidden/>
              </w:rPr>
              <w:tab/>
            </w:r>
            <w:r w:rsidR="00C86CA7">
              <w:rPr>
                <w:noProof/>
                <w:webHidden/>
              </w:rPr>
              <w:fldChar w:fldCharType="begin"/>
            </w:r>
            <w:r w:rsidR="00C86CA7">
              <w:rPr>
                <w:noProof/>
                <w:webHidden/>
              </w:rPr>
              <w:instrText xml:space="preserve"> PAGEREF _Toc107919659 \h </w:instrText>
            </w:r>
            <w:r w:rsidR="00C86CA7">
              <w:rPr>
                <w:noProof/>
                <w:webHidden/>
              </w:rPr>
            </w:r>
            <w:r w:rsidR="00C86CA7">
              <w:rPr>
                <w:noProof/>
                <w:webHidden/>
              </w:rPr>
              <w:fldChar w:fldCharType="separate"/>
            </w:r>
            <w:r w:rsidR="008D0C1F">
              <w:rPr>
                <w:noProof/>
                <w:webHidden/>
              </w:rPr>
              <w:t>55</w:t>
            </w:r>
            <w:r w:rsidR="00C86CA7">
              <w:rPr>
                <w:noProof/>
                <w:webHidden/>
              </w:rPr>
              <w:fldChar w:fldCharType="end"/>
            </w:r>
          </w:hyperlink>
        </w:p>
        <w:p w14:paraId="113A788E" w14:textId="04066B89" w:rsidR="00C86CA7" w:rsidRDefault="0074633B">
          <w:pPr>
            <w:pStyle w:val="TOC2"/>
            <w:tabs>
              <w:tab w:val="left" w:pos="1100"/>
            </w:tabs>
            <w:rPr>
              <w:noProof/>
              <w:lang w:eastAsia="en-NZ"/>
            </w:rPr>
          </w:pPr>
          <w:hyperlink w:anchor="_Toc107919660" w:history="1">
            <w:r w:rsidR="00C86CA7" w:rsidRPr="00EC5C85">
              <w:rPr>
                <w:rStyle w:val="Hyperlink"/>
                <w:noProof/>
              </w:rPr>
              <w:t>8.1</w:t>
            </w:r>
            <w:r w:rsidR="00C86CA7">
              <w:rPr>
                <w:noProof/>
                <w:lang w:eastAsia="en-NZ"/>
              </w:rPr>
              <w:tab/>
            </w:r>
            <w:r w:rsidR="00C86CA7" w:rsidRPr="00EC5C85">
              <w:rPr>
                <w:rStyle w:val="Hyperlink"/>
                <w:noProof/>
              </w:rPr>
              <w:t>Approach to this issue</w:t>
            </w:r>
            <w:r w:rsidR="00C86CA7">
              <w:rPr>
                <w:noProof/>
                <w:webHidden/>
              </w:rPr>
              <w:tab/>
            </w:r>
            <w:r w:rsidR="00C86CA7">
              <w:rPr>
                <w:noProof/>
                <w:webHidden/>
              </w:rPr>
              <w:fldChar w:fldCharType="begin"/>
            </w:r>
            <w:r w:rsidR="00C86CA7">
              <w:rPr>
                <w:noProof/>
                <w:webHidden/>
              </w:rPr>
              <w:instrText xml:space="preserve"> PAGEREF _Toc107919660 \h </w:instrText>
            </w:r>
            <w:r w:rsidR="00C86CA7">
              <w:rPr>
                <w:noProof/>
                <w:webHidden/>
              </w:rPr>
            </w:r>
            <w:r w:rsidR="00C86CA7">
              <w:rPr>
                <w:noProof/>
                <w:webHidden/>
              </w:rPr>
              <w:fldChar w:fldCharType="separate"/>
            </w:r>
            <w:r w:rsidR="008D0C1F">
              <w:rPr>
                <w:noProof/>
                <w:webHidden/>
              </w:rPr>
              <w:t>55</w:t>
            </w:r>
            <w:r w:rsidR="00C86CA7">
              <w:rPr>
                <w:noProof/>
                <w:webHidden/>
              </w:rPr>
              <w:fldChar w:fldCharType="end"/>
            </w:r>
          </w:hyperlink>
        </w:p>
        <w:p w14:paraId="0B2F99F5" w14:textId="1E58A70E" w:rsidR="00C86CA7" w:rsidRDefault="0074633B">
          <w:pPr>
            <w:pStyle w:val="TOC2"/>
            <w:tabs>
              <w:tab w:val="left" w:pos="1100"/>
            </w:tabs>
            <w:rPr>
              <w:noProof/>
              <w:lang w:eastAsia="en-NZ"/>
            </w:rPr>
          </w:pPr>
          <w:hyperlink w:anchor="_Toc107919661" w:history="1">
            <w:r w:rsidR="00C86CA7" w:rsidRPr="00EC5C85">
              <w:rPr>
                <w:rStyle w:val="Hyperlink"/>
                <w:noProof/>
              </w:rPr>
              <w:t>8.2</w:t>
            </w:r>
            <w:r w:rsidR="00C86CA7">
              <w:rPr>
                <w:noProof/>
                <w:lang w:eastAsia="en-NZ"/>
              </w:rPr>
              <w:tab/>
            </w:r>
            <w:r w:rsidR="00C86CA7" w:rsidRPr="00EC5C85">
              <w:rPr>
                <w:rStyle w:val="Hyperlink"/>
                <w:noProof/>
              </w:rPr>
              <w:t>Context of the grocery industry</w:t>
            </w:r>
            <w:r w:rsidR="00C86CA7">
              <w:rPr>
                <w:noProof/>
                <w:webHidden/>
              </w:rPr>
              <w:tab/>
            </w:r>
            <w:r w:rsidR="00C86CA7">
              <w:rPr>
                <w:noProof/>
                <w:webHidden/>
              </w:rPr>
              <w:fldChar w:fldCharType="begin"/>
            </w:r>
            <w:r w:rsidR="00C86CA7">
              <w:rPr>
                <w:noProof/>
                <w:webHidden/>
              </w:rPr>
              <w:instrText xml:space="preserve"> PAGEREF _Toc107919661 \h </w:instrText>
            </w:r>
            <w:r w:rsidR="00C86CA7">
              <w:rPr>
                <w:noProof/>
                <w:webHidden/>
              </w:rPr>
            </w:r>
            <w:r w:rsidR="00C86CA7">
              <w:rPr>
                <w:noProof/>
                <w:webHidden/>
              </w:rPr>
              <w:fldChar w:fldCharType="separate"/>
            </w:r>
            <w:r w:rsidR="008D0C1F">
              <w:rPr>
                <w:noProof/>
                <w:webHidden/>
              </w:rPr>
              <w:t>55</w:t>
            </w:r>
            <w:r w:rsidR="00C86CA7">
              <w:rPr>
                <w:noProof/>
                <w:webHidden/>
              </w:rPr>
              <w:fldChar w:fldCharType="end"/>
            </w:r>
          </w:hyperlink>
        </w:p>
        <w:p w14:paraId="3C321296" w14:textId="03B329D7" w:rsidR="00C86CA7" w:rsidRDefault="0074633B">
          <w:pPr>
            <w:pStyle w:val="TOC2"/>
            <w:tabs>
              <w:tab w:val="left" w:pos="1100"/>
            </w:tabs>
            <w:rPr>
              <w:noProof/>
              <w:lang w:eastAsia="en-NZ"/>
            </w:rPr>
          </w:pPr>
          <w:hyperlink w:anchor="_Toc107919662" w:history="1">
            <w:r w:rsidR="00C86CA7" w:rsidRPr="00EC5C85">
              <w:rPr>
                <w:rStyle w:val="Hyperlink"/>
                <w:noProof/>
              </w:rPr>
              <w:t>8.3</w:t>
            </w:r>
            <w:r w:rsidR="00C86CA7">
              <w:rPr>
                <w:noProof/>
                <w:lang w:eastAsia="en-NZ"/>
              </w:rPr>
              <w:tab/>
            </w:r>
            <w:r w:rsidR="00C86CA7" w:rsidRPr="00EC5C85">
              <w:rPr>
                <w:rStyle w:val="Hyperlink"/>
                <w:noProof/>
              </w:rPr>
              <w:t>Dispute resolution for the Code</w:t>
            </w:r>
            <w:r w:rsidR="00C86CA7">
              <w:rPr>
                <w:noProof/>
                <w:webHidden/>
              </w:rPr>
              <w:tab/>
            </w:r>
            <w:r w:rsidR="00C86CA7">
              <w:rPr>
                <w:noProof/>
                <w:webHidden/>
              </w:rPr>
              <w:fldChar w:fldCharType="begin"/>
            </w:r>
            <w:r w:rsidR="00C86CA7">
              <w:rPr>
                <w:noProof/>
                <w:webHidden/>
              </w:rPr>
              <w:instrText xml:space="preserve"> PAGEREF _Toc107919662 \h </w:instrText>
            </w:r>
            <w:r w:rsidR="00C86CA7">
              <w:rPr>
                <w:noProof/>
                <w:webHidden/>
              </w:rPr>
            </w:r>
            <w:r w:rsidR="00C86CA7">
              <w:rPr>
                <w:noProof/>
                <w:webHidden/>
              </w:rPr>
              <w:fldChar w:fldCharType="separate"/>
            </w:r>
            <w:r w:rsidR="008D0C1F">
              <w:rPr>
                <w:noProof/>
                <w:webHidden/>
              </w:rPr>
              <w:t>56</w:t>
            </w:r>
            <w:r w:rsidR="00C86CA7">
              <w:rPr>
                <w:noProof/>
                <w:webHidden/>
              </w:rPr>
              <w:fldChar w:fldCharType="end"/>
            </w:r>
          </w:hyperlink>
        </w:p>
        <w:p w14:paraId="67FFE260" w14:textId="67E525B5" w:rsidR="00C86CA7" w:rsidRDefault="0074633B">
          <w:pPr>
            <w:pStyle w:val="TOC2"/>
            <w:tabs>
              <w:tab w:val="left" w:pos="1100"/>
            </w:tabs>
            <w:rPr>
              <w:noProof/>
              <w:lang w:eastAsia="en-NZ"/>
            </w:rPr>
          </w:pPr>
          <w:hyperlink w:anchor="_Toc107919663" w:history="1">
            <w:r w:rsidR="00C86CA7" w:rsidRPr="00EC5C85">
              <w:rPr>
                <w:rStyle w:val="Hyperlink"/>
                <w:noProof/>
              </w:rPr>
              <w:t>8.4</w:t>
            </w:r>
            <w:r w:rsidR="00C86CA7">
              <w:rPr>
                <w:noProof/>
                <w:lang w:eastAsia="en-NZ"/>
              </w:rPr>
              <w:tab/>
            </w:r>
            <w:r w:rsidR="00C86CA7" w:rsidRPr="00EC5C85">
              <w:rPr>
                <w:rStyle w:val="Hyperlink"/>
                <w:noProof/>
              </w:rPr>
              <w:t>Examples of dispute resolution</w:t>
            </w:r>
            <w:r w:rsidR="00C86CA7">
              <w:rPr>
                <w:noProof/>
                <w:webHidden/>
              </w:rPr>
              <w:tab/>
            </w:r>
            <w:r w:rsidR="00C86CA7">
              <w:rPr>
                <w:noProof/>
                <w:webHidden/>
              </w:rPr>
              <w:fldChar w:fldCharType="begin"/>
            </w:r>
            <w:r w:rsidR="00C86CA7">
              <w:rPr>
                <w:noProof/>
                <w:webHidden/>
              </w:rPr>
              <w:instrText xml:space="preserve"> PAGEREF _Toc107919663 \h </w:instrText>
            </w:r>
            <w:r w:rsidR="00C86CA7">
              <w:rPr>
                <w:noProof/>
                <w:webHidden/>
              </w:rPr>
            </w:r>
            <w:r w:rsidR="00C86CA7">
              <w:rPr>
                <w:noProof/>
                <w:webHidden/>
              </w:rPr>
              <w:fldChar w:fldCharType="separate"/>
            </w:r>
            <w:r w:rsidR="008D0C1F">
              <w:rPr>
                <w:noProof/>
                <w:webHidden/>
              </w:rPr>
              <w:t>56</w:t>
            </w:r>
            <w:r w:rsidR="00C86CA7">
              <w:rPr>
                <w:noProof/>
                <w:webHidden/>
              </w:rPr>
              <w:fldChar w:fldCharType="end"/>
            </w:r>
          </w:hyperlink>
        </w:p>
        <w:p w14:paraId="5E9C6D91" w14:textId="43022D92" w:rsidR="00C86CA7" w:rsidRDefault="0074633B">
          <w:pPr>
            <w:pStyle w:val="TOC2"/>
            <w:tabs>
              <w:tab w:val="left" w:pos="1100"/>
            </w:tabs>
            <w:rPr>
              <w:noProof/>
              <w:lang w:eastAsia="en-NZ"/>
            </w:rPr>
          </w:pPr>
          <w:hyperlink w:anchor="_Toc107919664" w:history="1">
            <w:r w:rsidR="00C86CA7" w:rsidRPr="00EC5C85">
              <w:rPr>
                <w:rStyle w:val="Hyperlink"/>
                <w:noProof/>
              </w:rPr>
              <w:t>8.5</w:t>
            </w:r>
            <w:r w:rsidR="00C86CA7">
              <w:rPr>
                <w:noProof/>
                <w:lang w:eastAsia="en-NZ"/>
              </w:rPr>
              <w:tab/>
            </w:r>
            <w:r w:rsidR="00C86CA7" w:rsidRPr="00EC5C85">
              <w:rPr>
                <w:rStyle w:val="Hyperlink"/>
                <w:noProof/>
              </w:rPr>
              <w:t>Criteria that will be used to evaluate options for dispute resolution</w:t>
            </w:r>
            <w:r w:rsidR="00C86CA7">
              <w:rPr>
                <w:noProof/>
                <w:webHidden/>
              </w:rPr>
              <w:tab/>
            </w:r>
            <w:r w:rsidR="00C86CA7">
              <w:rPr>
                <w:noProof/>
                <w:webHidden/>
              </w:rPr>
              <w:fldChar w:fldCharType="begin"/>
            </w:r>
            <w:r w:rsidR="00C86CA7">
              <w:rPr>
                <w:noProof/>
                <w:webHidden/>
              </w:rPr>
              <w:instrText xml:space="preserve"> PAGEREF _Toc107919664 \h </w:instrText>
            </w:r>
            <w:r w:rsidR="00C86CA7">
              <w:rPr>
                <w:noProof/>
                <w:webHidden/>
              </w:rPr>
            </w:r>
            <w:r w:rsidR="00C86CA7">
              <w:rPr>
                <w:noProof/>
                <w:webHidden/>
              </w:rPr>
              <w:fldChar w:fldCharType="separate"/>
            </w:r>
            <w:r w:rsidR="008D0C1F">
              <w:rPr>
                <w:noProof/>
                <w:webHidden/>
              </w:rPr>
              <w:t>60</w:t>
            </w:r>
            <w:r w:rsidR="00C86CA7">
              <w:rPr>
                <w:noProof/>
                <w:webHidden/>
              </w:rPr>
              <w:fldChar w:fldCharType="end"/>
            </w:r>
          </w:hyperlink>
        </w:p>
        <w:p w14:paraId="322434B6" w14:textId="68E65574" w:rsidR="00C86CA7" w:rsidRDefault="0074633B">
          <w:pPr>
            <w:pStyle w:val="TOC2"/>
            <w:tabs>
              <w:tab w:val="left" w:pos="1100"/>
            </w:tabs>
            <w:rPr>
              <w:noProof/>
              <w:lang w:eastAsia="en-NZ"/>
            </w:rPr>
          </w:pPr>
          <w:hyperlink w:anchor="_Toc107919665" w:history="1">
            <w:r w:rsidR="00C86CA7" w:rsidRPr="00EC5C85">
              <w:rPr>
                <w:rStyle w:val="Hyperlink"/>
                <w:noProof/>
              </w:rPr>
              <w:t>8.6</w:t>
            </w:r>
            <w:r w:rsidR="00C86CA7">
              <w:rPr>
                <w:noProof/>
                <w:lang w:eastAsia="en-NZ"/>
              </w:rPr>
              <w:tab/>
            </w:r>
            <w:r w:rsidR="00C86CA7" w:rsidRPr="00EC5C85">
              <w:rPr>
                <w:rStyle w:val="Hyperlink"/>
                <w:noProof/>
              </w:rPr>
              <w:t>The options for New Zealand</w:t>
            </w:r>
            <w:r w:rsidR="00C86CA7">
              <w:rPr>
                <w:noProof/>
                <w:webHidden/>
              </w:rPr>
              <w:tab/>
            </w:r>
            <w:r w:rsidR="00C86CA7">
              <w:rPr>
                <w:noProof/>
                <w:webHidden/>
              </w:rPr>
              <w:fldChar w:fldCharType="begin"/>
            </w:r>
            <w:r w:rsidR="00C86CA7">
              <w:rPr>
                <w:noProof/>
                <w:webHidden/>
              </w:rPr>
              <w:instrText xml:space="preserve"> PAGEREF _Toc107919665 \h </w:instrText>
            </w:r>
            <w:r w:rsidR="00C86CA7">
              <w:rPr>
                <w:noProof/>
                <w:webHidden/>
              </w:rPr>
            </w:r>
            <w:r w:rsidR="00C86CA7">
              <w:rPr>
                <w:noProof/>
                <w:webHidden/>
              </w:rPr>
              <w:fldChar w:fldCharType="separate"/>
            </w:r>
            <w:r w:rsidR="008D0C1F">
              <w:rPr>
                <w:noProof/>
                <w:webHidden/>
              </w:rPr>
              <w:t>60</w:t>
            </w:r>
            <w:r w:rsidR="00C86CA7">
              <w:rPr>
                <w:noProof/>
                <w:webHidden/>
              </w:rPr>
              <w:fldChar w:fldCharType="end"/>
            </w:r>
          </w:hyperlink>
        </w:p>
        <w:p w14:paraId="3206E636" w14:textId="478F2F16" w:rsidR="00C86CA7" w:rsidRDefault="0074633B">
          <w:pPr>
            <w:pStyle w:val="TOC2"/>
            <w:tabs>
              <w:tab w:val="left" w:pos="1100"/>
            </w:tabs>
            <w:rPr>
              <w:noProof/>
              <w:lang w:eastAsia="en-NZ"/>
            </w:rPr>
          </w:pPr>
          <w:hyperlink w:anchor="_Toc107919666" w:history="1">
            <w:r w:rsidR="00C86CA7" w:rsidRPr="00EC5C85">
              <w:rPr>
                <w:rStyle w:val="Hyperlink"/>
                <w:noProof/>
              </w:rPr>
              <w:t>8.7</w:t>
            </w:r>
            <w:r w:rsidR="00C86CA7">
              <w:rPr>
                <w:noProof/>
                <w:lang w:eastAsia="en-NZ"/>
              </w:rPr>
              <w:tab/>
            </w:r>
            <w:r w:rsidR="00C86CA7" w:rsidRPr="00EC5C85">
              <w:rPr>
                <w:rStyle w:val="Hyperlink"/>
                <w:noProof/>
              </w:rPr>
              <w:t>Preliminary options analysis</w:t>
            </w:r>
            <w:r w:rsidR="00C86CA7">
              <w:rPr>
                <w:noProof/>
                <w:webHidden/>
              </w:rPr>
              <w:tab/>
            </w:r>
            <w:r w:rsidR="00C86CA7">
              <w:rPr>
                <w:noProof/>
                <w:webHidden/>
              </w:rPr>
              <w:fldChar w:fldCharType="begin"/>
            </w:r>
            <w:r w:rsidR="00C86CA7">
              <w:rPr>
                <w:noProof/>
                <w:webHidden/>
              </w:rPr>
              <w:instrText xml:space="preserve"> PAGEREF _Toc107919666 \h </w:instrText>
            </w:r>
            <w:r w:rsidR="00C86CA7">
              <w:rPr>
                <w:noProof/>
                <w:webHidden/>
              </w:rPr>
            </w:r>
            <w:r w:rsidR="00C86CA7">
              <w:rPr>
                <w:noProof/>
                <w:webHidden/>
              </w:rPr>
              <w:fldChar w:fldCharType="separate"/>
            </w:r>
            <w:r w:rsidR="008D0C1F">
              <w:rPr>
                <w:noProof/>
                <w:webHidden/>
              </w:rPr>
              <w:t>63</w:t>
            </w:r>
            <w:r w:rsidR="00C86CA7">
              <w:rPr>
                <w:noProof/>
                <w:webHidden/>
              </w:rPr>
              <w:fldChar w:fldCharType="end"/>
            </w:r>
          </w:hyperlink>
        </w:p>
        <w:p w14:paraId="4DBA7305" w14:textId="4CE066F4" w:rsidR="00C86CA7" w:rsidRDefault="0074633B">
          <w:pPr>
            <w:pStyle w:val="TOC2"/>
            <w:tabs>
              <w:tab w:val="left" w:pos="1100"/>
            </w:tabs>
            <w:rPr>
              <w:noProof/>
              <w:lang w:eastAsia="en-NZ"/>
            </w:rPr>
          </w:pPr>
          <w:hyperlink w:anchor="_Toc107919667" w:history="1">
            <w:r w:rsidR="00C86CA7" w:rsidRPr="00EC5C85">
              <w:rPr>
                <w:rStyle w:val="Hyperlink"/>
                <w:noProof/>
              </w:rPr>
              <w:t>8.8</w:t>
            </w:r>
            <w:r w:rsidR="00C86CA7">
              <w:rPr>
                <w:noProof/>
                <w:lang w:eastAsia="en-NZ"/>
              </w:rPr>
              <w:tab/>
            </w:r>
            <w:r w:rsidR="00C86CA7" w:rsidRPr="00EC5C85">
              <w:rPr>
                <w:rStyle w:val="Hyperlink"/>
                <w:noProof/>
              </w:rPr>
              <w:t>Consultation questions</w:t>
            </w:r>
            <w:r w:rsidR="00C86CA7">
              <w:rPr>
                <w:noProof/>
                <w:webHidden/>
              </w:rPr>
              <w:tab/>
            </w:r>
            <w:r w:rsidR="00C86CA7">
              <w:rPr>
                <w:noProof/>
                <w:webHidden/>
              </w:rPr>
              <w:fldChar w:fldCharType="begin"/>
            </w:r>
            <w:r w:rsidR="00C86CA7">
              <w:rPr>
                <w:noProof/>
                <w:webHidden/>
              </w:rPr>
              <w:instrText xml:space="preserve"> PAGEREF _Toc107919667 \h </w:instrText>
            </w:r>
            <w:r w:rsidR="00C86CA7">
              <w:rPr>
                <w:noProof/>
                <w:webHidden/>
              </w:rPr>
            </w:r>
            <w:r w:rsidR="00C86CA7">
              <w:rPr>
                <w:noProof/>
                <w:webHidden/>
              </w:rPr>
              <w:fldChar w:fldCharType="separate"/>
            </w:r>
            <w:r w:rsidR="008D0C1F">
              <w:rPr>
                <w:noProof/>
                <w:webHidden/>
              </w:rPr>
              <w:t>64</w:t>
            </w:r>
            <w:r w:rsidR="00C86CA7">
              <w:rPr>
                <w:noProof/>
                <w:webHidden/>
              </w:rPr>
              <w:fldChar w:fldCharType="end"/>
            </w:r>
          </w:hyperlink>
        </w:p>
        <w:p w14:paraId="04DB52A6" w14:textId="74E7E5DC" w:rsidR="00C86CA7" w:rsidRDefault="0074633B">
          <w:pPr>
            <w:pStyle w:val="TOC1"/>
            <w:rPr>
              <w:b w:val="0"/>
              <w:noProof/>
              <w:lang w:eastAsia="en-NZ"/>
            </w:rPr>
          </w:pPr>
          <w:hyperlink w:anchor="_Toc107919668" w:history="1">
            <w:r w:rsidR="00C86CA7" w:rsidRPr="00EC5C85">
              <w:rPr>
                <w:rStyle w:val="Hyperlink"/>
                <w:noProof/>
              </w:rPr>
              <w:t>9</w:t>
            </w:r>
            <w:r w:rsidR="00C86CA7">
              <w:rPr>
                <w:b w:val="0"/>
                <w:noProof/>
                <w:lang w:eastAsia="en-NZ"/>
              </w:rPr>
              <w:tab/>
            </w:r>
            <w:r w:rsidR="00C86CA7" w:rsidRPr="00EC5C85">
              <w:rPr>
                <w:rStyle w:val="Hyperlink"/>
                <w:noProof/>
              </w:rPr>
              <w:t>Monitoring, compliance and enforcement</w:t>
            </w:r>
            <w:r w:rsidR="00C86CA7">
              <w:rPr>
                <w:noProof/>
                <w:webHidden/>
              </w:rPr>
              <w:tab/>
            </w:r>
            <w:r w:rsidR="00C86CA7">
              <w:rPr>
                <w:noProof/>
                <w:webHidden/>
              </w:rPr>
              <w:fldChar w:fldCharType="begin"/>
            </w:r>
            <w:r w:rsidR="00C86CA7">
              <w:rPr>
                <w:noProof/>
                <w:webHidden/>
              </w:rPr>
              <w:instrText xml:space="preserve"> PAGEREF _Toc107919668 \h </w:instrText>
            </w:r>
            <w:r w:rsidR="00C86CA7">
              <w:rPr>
                <w:noProof/>
                <w:webHidden/>
              </w:rPr>
            </w:r>
            <w:r w:rsidR="00C86CA7">
              <w:rPr>
                <w:noProof/>
                <w:webHidden/>
              </w:rPr>
              <w:fldChar w:fldCharType="separate"/>
            </w:r>
            <w:r w:rsidR="008D0C1F">
              <w:rPr>
                <w:noProof/>
                <w:webHidden/>
              </w:rPr>
              <w:t>65</w:t>
            </w:r>
            <w:r w:rsidR="00C86CA7">
              <w:rPr>
                <w:noProof/>
                <w:webHidden/>
              </w:rPr>
              <w:fldChar w:fldCharType="end"/>
            </w:r>
          </w:hyperlink>
        </w:p>
        <w:p w14:paraId="6CFE56E2" w14:textId="24937B00" w:rsidR="00C86CA7" w:rsidRDefault="0074633B">
          <w:pPr>
            <w:pStyle w:val="TOC2"/>
            <w:tabs>
              <w:tab w:val="left" w:pos="1100"/>
            </w:tabs>
            <w:rPr>
              <w:noProof/>
              <w:lang w:eastAsia="en-NZ"/>
            </w:rPr>
          </w:pPr>
          <w:hyperlink w:anchor="_Toc107919669" w:history="1">
            <w:r w:rsidR="00C86CA7" w:rsidRPr="00EC5C85">
              <w:rPr>
                <w:rStyle w:val="Hyperlink"/>
                <w:noProof/>
              </w:rPr>
              <w:t>9.1</w:t>
            </w:r>
            <w:r w:rsidR="00C86CA7">
              <w:rPr>
                <w:noProof/>
                <w:lang w:eastAsia="en-NZ"/>
              </w:rPr>
              <w:tab/>
            </w:r>
            <w:r w:rsidR="00C86CA7" w:rsidRPr="00EC5C85">
              <w:rPr>
                <w:rStyle w:val="Hyperlink"/>
                <w:noProof/>
              </w:rPr>
              <w:t>Approach to this issue</w:t>
            </w:r>
            <w:r w:rsidR="00C86CA7">
              <w:rPr>
                <w:noProof/>
                <w:webHidden/>
              </w:rPr>
              <w:tab/>
            </w:r>
            <w:r w:rsidR="00C86CA7">
              <w:rPr>
                <w:noProof/>
                <w:webHidden/>
              </w:rPr>
              <w:fldChar w:fldCharType="begin"/>
            </w:r>
            <w:r w:rsidR="00C86CA7">
              <w:rPr>
                <w:noProof/>
                <w:webHidden/>
              </w:rPr>
              <w:instrText xml:space="preserve"> PAGEREF _Toc107919669 \h </w:instrText>
            </w:r>
            <w:r w:rsidR="00C86CA7">
              <w:rPr>
                <w:noProof/>
                <w:webHidden/>
              </w:rPr>
            </w:r>
            <w:r w:rsidR="00C86CA7">
              <w:rPr>
                <w:noProof/>
                <w:webHidden/>
              </w:rPr>
              <w:fldChar w:fldCharType="separate"/>
            </w:r>
            <w:r w:rsidR="008D0C1F">
              <w:rPr>
                <w:noProof/>
                <w:webHidden/>
              </w:rPr>
              <w:t>65</w:t>
            </w:r>
            <w:r w:rsidR="00C86CA7">
              <w:rPr>
                <w:noProof/>
                <w:webHidden/>
              </w:rPr>
              <w:fldChar w:fldCharType="end"/>
            </w:r>
          </w:hyperlink>
        </w:p>
        <w:p w14:paraId="74581F39" w14:textId="32D4125E" w:rsidR="00C86CA7" w:rsidRDefault="0074633B">
          <w:pPr>
            <w:pStyle w:val="TOC2"/>
            <w:tabs>
              <w:tab w:val="left" w:pos="1100"/>
            </w:tabs>
            <w:rPr>
              <w:noProof/>
              <w:lang w:eastAsia="en-NZ"/>
            </w:rPr>
          </w:pPr>
          <w:hyperlink w:anchor="_Toc107919670" w:history="1">
            <w:r w:rsidR="00C86CA7" w:rsidRPr="00EC5C85">
              <w:rPr>
                <w:rStyle w:val="Hyperlink"/>
                <w:noProof/>
              </w:rPr>
              <w:t>9.2</w:t>
            </w:r>
            <w:r w:rsidR="00C86CA7">
              <w:rPr>
                <w:noProof/>
                <w:lang w:eastAsia="en-NZ"/>
              </w:rPr>
              <w:tab/>
            </w:r>
            <w:r w:rsidR="00C86CA7" w:rsidRPr="00EC5C85">
              <w:rPr>
                <w:rStyle w:val="Hyperlink"/>
                <w:noProof/>
              </w:rPr>
              <w:t>Monitoring, compliance, and enforcement</w:t>
            </w:r>
            <w:r w:rsidR="00C86CA7">
              <w:rPr>
                <w:noProof/>
                <w:webHidden/>
              </w:rPr>
              <w:tab/>
            </w:r>
            <w:r w:rsidR="00C86CA7">
              <w:rPr>
                <w:noProof/>
                <w:webHidden/>
              </w:rPr>
              <w:fldChar w:fldCharType="begin"/>
            </w:r>
            <w:r w:rsidR="00C86CA7">
              <w:rPr>
                <w:noProof/>
                <w:webHidden/>
              </w:rPr>
              <w:instrText xml:space="preserve"> PAGEREF _Toc107919670 \h </w:instrText>
            </w:r>
            <w:r w:rsidR="00C86CA7">
              <w:rPr>
                <w:noProof/>
                <w:webHidden/>
              </w:rPr>
            </w:r>
            <w:r w:rsidR="00C86CA7">
              <w:rPr>
                <w:noProof/>
                <w:webHidden/>
              </w:rPr>
              <w:fldChar w:fldCharType="separate"/>
            </w:r>
            <w:r w:rsidR="008D0C1F">
              <w:rPr>
                <w:noProof/>
                <w:webHidden/>
              </w:rPr>
              <w:t>65</w:t>
            </w:r>
            <w:r w:rsidR="00C86CA7">
              <w:rPr>
                <w:noProof/>
                <w:webHidden/>
              </w:rPr>
              <w:fldChar w:fldCharType="end"/>
            </w:r>
          </w:hyperlink>
        </w:p>
        <w:p w14:paraId="73B2C91C" w14:textId="5B97ECB3" w:rsidR="00C86CA7" w:rsidRDefault="0074633B">
          <w:pPr>
            <w:pStyle w:val="TOC2"/>
            <w:tabs>
              <w:tab w:val="left" w:pos="1100"/>
            </w:tabs>
            <w:rPr>
              <w:noProof/>
              <w:lang w:eastAsia="en-NZ"/>
            </w:rPr>
          </w:pPr>
          <w:hyperlink w:anchor="_Toc107919671" w:history="1">
            <w:r w:rsidR="00C86CA7" w:rsidRPr="00EC5C85">
              <w:rPr>
                <w:rStyle w:val="Hyperlink"/>
                <w:noProof/>
              </w:rPr>
              <w:t>9.3</w:t>
            </w:r>
            <w:r w:rsidR="00C86CA7">
              <w:rPr>
                <w:noProof/>
                <w:lang w:eastAsia="en-NZ"/>
              </w:rPr>
              <w:tab/>
            </w:r>
            <w:r w:rsidR="00C86CA7" w:rsidRPr="00EC5C85">
              <w:rPr>
                <w:rStyle w:val="Hyperlink"/>
                <w:noProof/>
              </w:rPr>
              <w:t>When would the Code come into force?</w:t>
            </w:r>
            <w:r w:rsidR="00C86CA7">
              <w:rPr>
                <w:noProof/>
                <w:webHidden/>
              </w:rPr>
              <w:tab/>
            </w:r>
            <w:r w:rsidR="00C86CA7">
              <w:rPr>
                <w:noProof/>
                <w:webHidden/>
              </w:rPr>
              <w:fldChar w:fldCharType="begin"/>
            </w:r>
            <w:r w:rsidR="00C86CA7">
              <w:rPr>
                <w:noProof/>
                <w:webHidden/>
              </w:rPr>
              <w:instrText xml:space="preserve"> PAGEREF _Toc107919671 \h </w:instrText>
            </w:r>
            <w:r w:rsidR="00C86CA7">
              <w:rPr>
                <w:noProof/>
                <w:webHidden/>
              </w:rPr>
            </w:r>
            <w:r w:rsidR="00C86CA7">
              <w:rPr>
                <w:noProof/>
                <w:webHidden/>
              </w:rPr>
              <w:fldChar w:fldCharType="separate"/>
            </w:r>
            <w:r w:rsidR="008D0C1F">
              <w:rPr>
                <w:noProof/>
                <w:webHidden/>
              </w:rPr>
              <w:t>68</w:t>
            </w:r>
            <w:r w:rsidR="00C86CA7">
              <w:rPr>
                <w:noProof/>
                <w:webHidden/>
              </w:rPr>
              <w:fldChar w:fldCharType="end"/>
            </w:r>
          </w:hyperlink>
        </w:p>
        <w:p w14:paraId="2CDA3DAB" w14:textId="080AABA1" w:rsidR="00C86CA7" w:rsidRDefault="0074633B">
          <w:pPr>
            <w:pStyle w:val="TOC2"/>
            <w:tabs>
              <w:tab w:val="left" w:pos="1100"/>
            </w:tabs>
            <w:rPr>
              <w:noProof/>
              <w:lang w:eastAsia="en-NZ"/>
            </w:rPr>
          </w:pPr>
          <w:hyperlink w:anchor="_Toc107919672" w:history="1">
            <w:r w:rsidR="00C86CA7" w:rsidRPr="00EC5C85">
              <w:rPr>
                <w:rStyle w:val="Hyperlink"/>
                <w:noProof/>
              </w:rPr>
              <w:t>9.4</w:t>
            </w:r>
            <w:r w:rsidR="00C86CA7">
              <w:rPr>
                <w:noProof/>
                <w:lang w:eastAsia="en-NZ"/>
              </w:rPr>
              <w:tab/>
            </w:r>
            <w:r w:rsidR="00C86CA7" w:rsidRPr="00EC5C85">
              <w:rPr>
                <w:rStyle w:val="Hyperlink"/>
                <w:noProof/>
              </w:rPr>
              <w:t>Consultation question</w:t>
            </w:r>
            <w:r w:rsidR="00C86CA7">
              <w:rPr>
                <w:noProof/>
                <w:webHidden/>
              </w:rPr>
              <w:tab/>
            </w:r>
            <w:r w:rsidR="00C86CA7">
              <w:rPr>
                <w:noProof/>
                <w:webHidden/>
              </w:rPr>
              <w:fldChar w:fldCharType="begin"/>
            </w:r>
            <w:r w:rsidR="00C86CA7">
              <w:rPr>
                <w:noProof/>
                <w:webHidden/>
              </w:rPr>
              <w:instrText xml:space="preserve"> PAGEREF _Toc107919672 \h </w:instrText>
            </w:r>
            <w:r w:rsidR="00C86CA7">
              <w:rPr>
                <w:noProof/>
                <w:webHidden/>
              </w:rPr>
            </w:r>
            <w:r w:rsidR="00C86CA7">
              <w:rPr>
                <w:noProof/>
                <w:webHidden/>
              </w:rPr>
              <w:fldChar w:fldCharType="separate"/>
            </w:r>
            <w:r w:rsidR="008D0C1F">
              <w:rPr>
                <w:noProof/>
                <w:webHidden/>
              </w:rPr>
              <w:t>68</w:t>
            </w:r>
            <w:r w:rsidR="00C86CA7">
              <w:rPr>
                <w:noProof/>
                <w:webHidden/>
              </w:rPr>
              <w:fldChar w:fldCharType="end"/>
            </w:r>
          </w:hyperlink>
        </w:p>
        <w:p w14:paraId="4B7CA4C2" w14:textId="33D7472A" w:rsidR="00C86CA7" w:rsidRDefault="0074633B">
          <w:pPr>
            <w:pStyle w:val="TOC1"/>
            <w:rPr>
              <w:b w:val="0"/>
              <w:noProof/>
              <w:lang w:eastAsia="en-NZ"/>
            </w:rPr>
          </w:pPr>
          <w:hyperlink w:anchor="_Toc107919673" w:history="1">
            <w:r w:rsidR="00C86CA7" w:rsidRPr="00EC5C85">
              <w:rPr>
                <w:rStyle w:val="Hyperlink"/>
                <w:noProof/>
              </w:rPr>
              <w:t>Annex: Recap of questions in this consultation paper</w:t>
            </w:r>
            <w:r w:rsidR="00C86CA7">
              <w:rPr>
                <w:noProof/>
                <w:webHidden/>
              </w:rPr>
              <w:tab/>
            </w:r>
            <w:r w:rsidR="00C86CA7">
              <w:rPr>
                <w:noProof/>
                <w:webHidden/>
              </w:rPr>
              <w:fldChar w:fldCharType="begin"/>
            </w:r>
            <w:r w:rsidR="00C86CA7">
              <w:rPr>
                <w:noProof/>
                <w:webHidden/>
              </w:rPr>
              <w:instrText xml:space="preserve"> PAGEREF _Toc107919673 \h </w:instrText>
            </w:r>
            <w:r w:rsidR="00C86CA7">
              <w:rPr>
                <w:noProof/>
                <w:webHidden/>
              </w:rPr>
            </w:r>
            <w:r w:rsidR="00C86CA7">
              <w:rPr>
                <w:noProof/>
                <w:webHidden/>
              </w:rPr>
              <w:fldChar w:fldCharType="separate"/>
            </w:r>
            <w:r w:rsidR="008D0C1F">
              <w:rPr>
                <w:noProof/>
                <w:webHidden/>
              </w:rPr>
              <w:t>69</w:t>
            </w:r>
            <w:r w:rsidR="00C86CA7">
              <w:rPr>
                <w:noProof/>
                <w:webHidden/>
              </w:rPr>
              <w:fldChar w:fldCharType="end"/>
            </w:r>
          </w:hyperlink>
        </w:p>
        <w:p w14:paraId="3E2229DE" w14:textId="07C985F0" w:rsidR="00AC02D1" w:rsidRDefault="00AC02D1" w:rsidP="00AC02D1">
          <w:pPr>
            <w:rPr>
              <w:noProof/>
            </w:rPr>
          </w:pPr>
          <w:r>
            <w:fldChar w:fldCharType="end"/>
          </w:r>
        </w:p>
      </w:sdtContent>
    </w:sdt>
    <w:p w14:paraId="7B00AE0C" w14:textId="50DE6854" w:rsidR="00D37933" w:rsidRDefault="00D37933">
      <w:pPr>
        <w:rPr>
          <w:rFonts w:asciiTheme="majorHAnsi" w:hAnsiTheme="majorHAnsi" w:cstheme="majorHAnsi"/>
          <w:color w:val="006272" w:themeColor="text2"/>
          <w:sz w:val="24"/>
          <w:szCs w:val="24"/>
        </w:rPr>
      </w:pPr>
      <w:r>
        <w:rPr>
          <w:rFonts w:asciiTheme="majorHAnsi" w:hAnsiTheme="majorHAnsi" w:cstheme="majorHAnsi"/>
          <w:color w:val="006272" w:themeColor="text2"/>
          <w:sz w:val="24"/>
          <w:szCs w:val="24"/>
        </w:rPr>
        <w:br w:type="page"/>
      </w:r>
    </w:p>
    <w:p w14:paraId="240425C1" w14:textId="1861A881" w:rsidR="00CA1C7F" w:rsidRPr="00AC78EE" w:rsidRDefault="00E803F5" w:rsidP="00AC78EE">
      <w:pPr>
        <w:rPr>
          <w:rFonts w:asciiTheme="majorHAnsi" w:hAnsiTheme="majorHAnsi" w:cstheme="majorHAnsi"/>
          <w:color w:val="006272" w:themeColor="text2"/>
          <w:sz w:val="24"/>
          <w:szCs w:val="24"/>
        </w:rPr>
      </w:pPr>
      <w:r w:rsidRPr="00AC78EE">
        <w:rPr>
          <w:rFonts w:asciiTheme="majorHAnsi" w:hAnsiTheme="majorHAnsi" w:cstheme="majorHAnsi"/>
          <w:color w:val="006272" w:themeColor="text2"/>
          <w:sz w:val="24"/>
          <w:szCs w:val="24"/>
        </w:rPr>
        <w:lastRenderedPageBreak/>
        <w:t>List of Acronyms</w:t>
      </w:r>
      <w:r w:rsidR="00637FEC" w:rsidRPr="00AC78EE">
        <w:rPr>
          <w:rFonts w:asciiTheme="majorHAnsi" w:hAnsiTheme="majorHAnsi" w:cstheme="majorHAnsi"/>
          <w:color w:val="006272" w:themeColor="text2"/>
          <w:sz w:val="24"/>
          <w:szCs w:val="24"/>
        </w:rPr>
        <w:t xml:space="preserve"> and Terms</w:t>
      </w:r>
    </w:p>
    <w:p w14:paraId="51C689D7" w14:textId="77777777" w:rsidR="00E803F5" w:rsidRPr="00006BC7" w:rsidRDefault="00E803F5" w:rsidP="00E803F5">
      <w:pPr>
        <w:pStyle w:val="LineTeal"/>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571"/>
        <w:gridCol w:w="7499"/>
      </w:tblGrid>
      <w:tr w:rsidR="00342337" w14:paraId="374EB496" w14:textId="77777777" w:rsidTr="001522F9">
        <w:trPr>
          <w:trHeight w:val="268"/>
        </w:trPr>
        <w:tc>
          <w:tcPr>
            <w:tcW w:w="790" w:type="pct"/>
          </w:tcPr>
          <w:p w14:paraId="75462E1D" w14:textId="52AFC5D9" w:rsidR="00342337" w:rsidRPr="009939A6" w:rsidRDefault="00342337" w:rsidP="009939A6">
            <w:pPr>
              <w:rPr>
                <w:b/>
                <w:bCs/>
              </w:rPr>
            </w:pPr>
            <w:r>
              <w:rPr>
                <w:b/>
                <w:bCs/>
              </w:rPr>
              <w:t>Adjudication</w:t>
            </w:r>
          </w:p>
        </w:tc>
        <w:tc>
          <w:tcPr>
            <w:tcW w:w="4210" w:type="pct"/>
          </w:tcPr>
          <w:p w14:paraId="2063FF87" w14:textId="7E01843E" w:rsidR="00342337" w:rsidRPr="0026575B" w:rsidRDefault="00342337" w:rsidP="009939A6">
            <w:pPr>
              <w:rPr>
                <w:rFonts w:cstheme="minorHAnsi"/>
              </w:rPr>
            </w:pPr>
            <w:r w:rsidRPr="0026575B">
              <w:rPr>
                <w:rStyle w:val="Strong"/>
                <w:rFonts w:cstheme="minorHAnsi"/>
                <w:b w:val="0"/>
                <w:bCs w:val="0"/>
              </w:rPr>
              <w:t>Adjudication</w:t>
            </w:r>
            <w:r w:rsidR="0026575B" w:rsidRPr="0026575B">
              <w:rPr>
                <w:rStyle w:val="Strong"/>
                <w:rFonts w:cstheme="minorHAnsi"/>
                <w:b w:val="0"/>
                <w:bCs w:val="0"/>
              </w:rPr>
              <w:t xml:space="preserve"> </w:t>
            </w:r>
            <w:r w:rsidRPr="0026575B">
              <w:rPr>
                <w:rFonts w:cstheme="minorHAnsi"/>
              </w:rPr>
              <w:t xml:space="preserve">is a </w:t>
            </w:r>
            <w:r w:rsidR="003F01DA">
              <w:rPr>
                <w:rFonts w:cstheme="minorHAnsi"/>
              </w:rPr>
              <w:t xml:space="preserve">dispute resolution </w:t>
            </w:r>
            <w:r w:rsidRPr="0026575B">
              <w:rPr>
                <w:rFonts w:cstheme="minorHAnsi"/>
              </w:rPr>
              <w:t>process in which the parties present arguments and evidence to a dispute resolution practitioner (the adjudicator) who is empowered by contract or statute to make binding decisions on disputes.</w:t>
            </w:r>
          </w:p>
        </w:tc>
      </w:tr>
      <w:tr w:rsidR="00342337" w14:paraId="611CBCF1" w14:textId="77777777" w:rsidTr="001522F9">
        <w:trPr>
          <w:trHeight w:val="268"/>
        </w:trPr>
        <w:tc>
          <w:tcPr>
            <w:tcW w:w="790" w:type="pct"/>
          </w:tcPr>
          <w:p w14:paraId="4E5F6A15" w14:textId="78558DF2" w:rsidR="00342337" w:rsidRDefault="00342337" w:rsidP="009939A6">
            <w:pPr>
              <w:rPr>
                <w:b/>
                <w:bCs/>
              </w:rPr>
            </w:pPr>
            <w:r>
              <w:rPr>
                <w:b/>
                <w:bCs/>
              </w:rPr>
              <w:t>Arbitration</w:t>
            </w:r>
          </w:p>
        </w:tc>
        <w:tc>
          <w:tcPr>
            <w:tcW w:w="4210" w:type="pct"/>
          </w:tcPr>
          <w:p w14:paraId="3D758930" w14:textId="6E4E2F64" w:rsidR="00342337" w:rsidRPr="0026575B" w:rsidRDefault="00342337" w:rsidP="009939A6">
            <w:pPr>
              <w:rPr>
                <w:rStyle w:val="Strong"/>
                <w:rFonts w:cstheme="minorHAnsi"/>
                <w:b w:val="0"/>
                <w:bCs w:val="0"/>
              </w:rPr>
            </w:pPr>
            <w:r w:rsidRPr="0026575B">
              <w:rPr>
                <w:rFonts w:cstheme="minorHAnsi"/>
              </w:rPr>
              <w:t>Arbitration is a dispute resolution process in which the parties present arguments and evidence to one or more dispute resolution practitioners (the arbitral tribunal) who then deciding the matter in dispute. Arbitrations are governed by the Arbitration Act 1996. </w:t>
            </w:r>
          </w:p>
        </w:tc>
      </w:tr>
      <w:tr w:rsidR="00293532" w14:paraId="65317E8A" w14:textId="77777777" w:rsidTr="001522F9">
        <w:trPr>
          <w:trHeight w:val="268"/>
        </w:trPr>
        <w:tc>
          <w:tcPr>
            <w:tcW w:w="790" w:type="pct"/>
          </w:tcPr>
          <w:p w14:paraId="1324B112" w14:textId="77777777" w:rsidR="009939A6" w:rsidRPr="009939A6" w:rsidRDefault="009939A6" w:rsidP="009939A6">
            <w:pPr>
              <w:rPr>
                <w:b/>
                <w:bCs/>
              </w:rPr>
            </w:pPr>
            <w:r w:rsidRPr="009939A6">
              <w:rPr>
                <w:b/>
                <w:bCs/>
              </w:rPr>
              <w:t>Australian Code</w:t>
            </w:r>
          </w:p>
        </w:tc>
        <w:tc>
          <w:tcPr>
            <w:tcW w:w="4210" w:type="pct"/>
          </w:tcPr>
          <w:p w14:paraId="02C51FAB" w14:textId="77777777" w:rsidR="009939A6" w:rsidRDefault="009939A6" w:rsidP="009939A6">
            <w:r>
              <w:t xml:space="preserve">The Australian </w:t>
            </w:r>
            <w:r w:rsidRPr="00CA1C7F">
              <w:rPr>
                <w:i/>
              </w:rPr>
              <w:t>Food and Grocery Code of Conduct</w:t>
            </w:r>
            <w:r>
              <w:t xml:space="preserve"> </w:t>
            </w:r>
            <w:bookmarkStart w:id="22" w:name="_Hlk104910410"/>
            <w:r>
              <w:t>prescribed under the Competition and Consumer Act 2010</w:t>
            </w:r>
            <w:bookmarkEnd w:id="22"/>
            <w:r>
              <w:t>.</w:t>
            </w:r>
          </w:p>
          <w:p w14:paraId="01A9ABD3" w14:textId="1DF3BEB2" w:rsidR="003F01DA" w:rsidRDefault="0074633B" w:rsidP="009939A6">
            <w:hyperlink r:id="rId21" w:history="1">
              <w:r w:rsidR="003F01DA" w:rsidRPr="007F518A">
                <w:rPr>
                  <w:rStyle w:val="Hyperlink"/>
                  <w:rFonts w:asciiTheme="minorHAnsi" w:hAnsiTheme="minorHAnsi"/>
                </w:rPr>
                <w:t>https://www.legislation.gov.au/Details/F2021C00201/Html/Text</w:t>
              </w:r>
            </w:hyperlink>
            <w:r w:rsidR="003F01DA">
              <w:t xml:space="preserve"> </w:t>
            </w:r>
          </w:p>
        </w:tc>
      </w:tr>
      <w:tr w:rsidR="00293532" w14:paraId="18B2A698" w14:textId="77777777" w:rsidTr="001522F9">
        <w:trPr>
          <w:trHeight w:val="268"/>
        </w:trPr>
        <w:tc>
          <w:tcPr>
            <w:tcW w:w="790" w:type="pct"/>
          </w:tcPr>
          <w:p w14:paraId="60C3631D" w14:textId="3E9DBB52" w:rsidR="009939A6" w:rsidRPr="009939A6" w:rsidRDefault="009939A6" w:rsidP="002E30E7">
            <w:pPr>
              <w:rPr>
                <w:b/>
                <w:bCs/>
              </w:rPr>
            </w:pPr>
            <w:r>
              <w:rPr>
                <w:b/>
                <w:bCs/>
              </w:rPr>
              <w:t>Commission</w:t>
            </w:r>
          </w:p>
        </w:tc>
        <w:tc>
          <w:tcPr>
            <w:tcW w:w="4210" w:type="pct"/>
          </w:tcPr>
          <w:p w14:paraId="42BE46E5" w14:textId="544464CC" w:rsidR="009939A6" w:rsidRDefault="009939A6" w:rsidP="002E30E7">
            <w:r>
              <w:t xml:space="preserve">The </w:t>
            </w:r>
            <w:r w:rsidR="00582F56">
              <w:t xml:space="preserve">New Zealand </w:t>
            </w:r>
            <w:r>
              <w:t>Commerce Commission</w:t>
            </w:r>
            <w:r w:rsidR="004A7CFD">
              <w:t>.</w:t>
            </w:r>
          </w:p>
        </w:tc>
      </w:tr>
      <w:tr w:rsidR="00293532" w14:paraId="3F2D034C" w14:textId="77777777" w:rsidTr="001522F9">
        <w:trPr>
          <w:trHeight w:val="268"/>
        </w:trPr>
        <w:tc>
          <w:tcPr>
            <w:tcW w:w="790" w:type="pct"/>
          </w:tcPr>
          <w:p w14:paraId="79741098" w14:textId="06AAD426" w:rsidR="002E30E7" w:rsidRDefault="002E30E7" w:rsidP="009939A6">
            <w:pPr>
              <w:rPr>
                <w:b/>
                <w:bCs/>
              </w:rPr>
            </w:pPr>
            <w:r>
              <w:rPr>
                <w:b/>
                <w:bCs/>
              </w:rPr>
              <w:t>Commission’s Final Report</w:t>
            </w:r>
          </w:p>
        </w:tc>
        <w:tc>
          <w:tcPr>
            <w:tcW w:w="4210" w:type="pct"/>
          </w:tcPr>
          <w:p w14:paraId="74AD80A4" w14:textId="46A95BBD" w:rsidR="002E30E7" w:rsidRDefault="002E30E7" w:rsidP="009939A6">
            <w:r>
              <w:t xml:space="preserve">The Commission’s final report on the market study into New Zealand’s retail grocery sector, published on 8 March 2022. </w:t>
            </w:r>
          </w:p>
        </w:tc>
      </w:tr>
      <w:tr w:rsidR="006112A1" w14:paraId="4DFA8E9D" w14:textId="77777777" w:rsidTr="001522F9">
        <w:trPr>
          <w:trHeight w:val="268"/>
        </w:trPr>
        <w:tc>
          <w:tcPr>
            <w:tcW w:w="790" w:type="pct"/>
          </w:tcPr>
          <w:p w14:paraId="62A57588" w14:textId="77777777" w:rsidR="006112A1" w:rsidRDefault="006112A1" w:rsidP="001B1261">
            <w:pPr>
              <w:rPr>
                <w:b/>
                <w:bCs/>
              </w:rPr>
            </w:pPr>
            <w:r>
              <w:rPr>
                <w:b/>
                <w:bCs/>
              </w:rPr>
              <w:t>Designated retailers</w:t>
            </w:r>
          </w:p>
        </w:tc>
        <w:tc>
          <w:tcPr>
            <w:tcW w:w="4210" w:type="pct"/>
          </w:tcPr>
          <w:p w14:paraId="009ACEC2" w14:textId="3FBF6584" w:rsidR="006112A1" w:rsidRDefault="006112A1" w:rsidP="001B1261">
            <w:r>
              <w:t xml:space="preserve">Grocery retailers that will be designated under the Code. As per Chapter 3, it is proposed that all major grocery retailers will be designated </w:t>
            </w:r>
            <w:r w:rsidR="005C53AC">
              <w:t>w</w:t>
            </w:r>
            <w:r>
              <w:t>hen the Code is created and a future designation mechanism will be created.</w:t>
            </w:r>
          </w:p>
        </w:tc>
      </w:tr>
      <w:tr w:rsidR="007050AD" w14:paraId="0DF5D37E" w14:textId="77777777" w:rsidTr="001522F9">
        <w:trPr>
          <w:trHeight w:val="268"/>
        </w:trPr>
        <w:tc>
          <w:tcPr>
            <w:tcW w:w="790" w:type="pct"/>
          </w:tcPr>
          <w:p w14:paraId="13C3D3BC" w14:textId="151E9C97" w:rsidR="007050AD" w:rsidRPr="009939A6" w:rsidRDefault="007050AD" w:rsidP="009939A6">
            <w:pPr>
              <w:rPr>
                <w:b/>
                <w:bCs/>
              </w:rPr>
            </w:pPr>
            <w:r>
              <w:rPr>
                <w:b/>
                <w:bCs/>
              </w:rPr>
              <w:t>Dispute resolution</w:t>
            </w:r>
          </w:p>
        </w:tc>
        <w:tc>
          <w:tcPr>
            <w:tcW w:w="4210" w:type="pct"/>
          </w:tcPr>
          <w:p w14:paraId="5A9E8233" w14:textId="6F747CFE" w:rsidR="007050AD" w:rsidRDefault="003F01DA" w:rsidP="009939A6">
            <w:r>
              <w:t>A</w:t>
            </w:r>
            <w:r w:rsidR="007050AD" w:rsidRPr="007050AD">
              <w:t xml:space="preserve"> generic term for any form of dispute resolution other than proceedings in a court or a tribunal, and usually involves an independent third party</w:t>
            </w:r>
            <w:r w:rsidR="007050AD">
              <w:t>.</w:t>
            </w:r>
          </w:p>
        </w:tc>
      </w:tr>
      <w:tr w:rsidR="007050AD" w14:paraId="1DA156BC" w14:textId="77777777" w:rsidTr="001522F9">
        <w:trPr>
          <w:trHeight w:val="268"/>
        </w:trPr>
        <w:tc>
          <w:tcPr>
            <w:tcW w:w="790" w:type="pct"/>
          </w:tcPr>
          <w:p w14:paraId="7610711B" w14:textId="49EEBE1C" w:rsidR="007050AD" w:rsidRDefault="007050AD" w:rsidP="009939A6">
            <w:pPr>
              <w:rPr>
                <w:b/>
                <w:bCs/>
              </w:rPr>
            </w:pPr>
            <w:r>
              <w:rPr>
                <w:b/>
                <w:bCs/>
              </w:rPr>
              <w:t>GCDR</w:t>
            </w:r>
          </w:p>
        </w:tc>
        <w:tc>
          <w:tcPr>
            <w:tcW w:w="4210" w:type="pct"/>
          </w:tcPr>
          <w:p w14:paraId="215783AA" w14:textId="1B6D5DB0" w:rsidR="007050AD" w:rsidRDefault="007050AD" w:rsidP="009939A6">
            <w:r>
              <w:t xml:space="preserve">Government Centre for Dispute Resolution </w:t>
            </w:r>
          </w:p>
          <w:p w14:paraId="6FD01ACE" w14:textId="7E7392A7" w:rsidR="007050AD" w:rsidRDefault="0074633B" w:rsidP="009939A6">
            <w:hyperlink r:id="rId22" w:history="1">
              <w:r w:rsidR="007050AD" w:rsidRPr="00677DB0">
                <w:rPr>
                  <w:rStyle w:val="Hyperlink"/>
                  <w:rFonts w:asciiTheme="minorHAnsi" w:hAnsiTheme="minorHAnsi"/>
                </w:rPr>
                <w:t>https://www.mbie.govt.nz/cross-government-functions/government-centre-for-dispute-resolution/</w:t>
              </w:r>
            </w:hyperlink>
            <w:r w:rsidR="007050AD">
              <w:t xml:space="preserve"> </w:t>
            </w:r>
          </w:p>
        </w:tc>
      </w:tr>
      <w:tr w:rsidR="00293532" w14:paraId="5A5E7A2E" w14:textId="77777777" w:rsidTr="001522F9">
        <w:trPr>
          <w:trHeight w:val="268"/>
        </w:trPr>
        <w:tc>
          <w:tcPr>
            <w:tcW w:w="790" w:type="pct"/>
          </w:tcPr>
          <w:p w14:paraId="4F5133BD" w14:textId="77777777" w:rsidR="009939A6" w:rsidRPr="009939A6" w:rsidRDefault="009939A6" w:rsidP="009939A6">
            <w:pPr>
              <w:rPr>
                <w:b/>
                <w:bCs/>
              </w:rPr>
            </w:pPr>
            <w:r w:rsidRPr="009939A6">
              <w:rPr>
                <w:b/>
                <w:bCs/>
              </w:rPr>
              <w:t>Forward buying</w:t>
            </w:r>
          </w:p>
        </w:tc>
        <w:tc>
          <w:tcPr>
            <w:tcW w:w="4210" w:type="pct"/>
          </w:tcPr>
          <w:p w14:paraId="793AA87B" w14:textId="66E89AC8" w:rsidR="009939A6" w:rsidRDefault="00303AEB" w:rsidP="009939A6">
            <w:r>
              <w:t xml:space="preserve">When </w:t>
            </w:r>
            <w:r w:rsidR="009939A6">
              <w:t xml:space="preserve">a retailer buys more stock </w:t>
            </w:r>
            <w:r w:rsidR="00230829">
              <w:t xml:space="preserve">than </w:t>
            </w:r>
            <w:r w:rsidR="009939A6">
              <w:t>it expects to sell in the immediate future.</w:t>
            </w:r>
          </w:p>
        </w:tc>
      </w:tr>
      <w:tr w:rsidR="00293532" w14:paraId="033468B2" w14:textId="77777777" w:rsidTr="001522F9">
        <w:trPr>
          <w:trHeight w:val="268"/>
        </w:trPr>
        <w:tc>
          <w:tcPr>
            <w:tcW w:w="790" w:type="pct"/>
          </w:tcPr>
          <w:p w14:paraId="03746F1F" w14:textId="78D4BCB0" w:rsidR="00637FEC" w:rsidRPr="009939A6" w:rsidRDefault="00DB5B1F" w:rsidP="009939A6">
            <w:pPr>
              <w:rPr>
                <w:b/>
                <w:bCs/>
              </w:rPr>
            </w:pPr>
            <w:r w:rsidRPr="009939A6">
              <w:rPr>
                <w:b/>
                <w:bCs/>
              </w:rPr>
              <w:t>Foodstuffs North Island</w:t>
            </w:r>
          </w:p>
        </w:tc>
        <w:tc>
          <w:tcPr>
            <w:tcW w:w="4210" w:type="pct"/>
          </w:tcPr>
          <w:p w14:paraId="24D7BB2D" w14:textId="56A55536" w:rsidR="00637FEC" w:rsidRDefault="00DB5B1F" w:rsidP="009939A6">
            <w:r w:rsidRPr="00DB5B1F">
              <w:t>Foodstuffs N</w:t>
            </w:r>
            <w:r>
              <w:t>orth Island</w:t>
            </w:r>
            <w:r w:rsidR="003F01DA">
              <w:t xml:space="preserve"> operates the retail banners </w:t>
            </w:r>
            <w:r w:rsidRPr="00DB5B1F">
              <w:t>New World, PAK’nSAVE and Four Square across the North Island</w:t>
            </w:r>
            <w:r w:rsidR="003C2412">
              <w:t>.</w:t>
            </w:r>
            <w:r w:rsidR="003F01DA">
              <w:t xml:space="preserve"> It is a cooperative with owner operated stores that have a franchisee agreement with Foodstuffs North Island</w:t>
            </w:r>
          </w:p>
        </w:tc>
      </w:tr>
      <w:tr w:rsidR="00293532" w14:paraId="33C2FBC9" w14:textId="77777777" w:rsidTr="001522F9">
        <w:trPr>
          <w:trHeight w:val="268"/>
        </w:trPr>
        <w:tc>
          <w:tcPr>
            <w:tcW w:w="790" w:type="pct"/>
          </w:tcPr>
          <w:p w14:paraId="399BCEAE" w14:textId="410D946A" w:rsidR="00637FEC" w:rsidRPr="009939A6" w:rsidRDefault="00DB5B1F" w:rsidP="009939A6">
            <w:pPr>
              <w:rPr>
                <w:b/>
                <w:bCs/>
              </w:rPr>
            </w:pPr>
            <w:r w:rsidRPr="009939A6">
              <w:rPr>
                <w:b/>
                <w:bCs/>
              </w:rPr>
              <w:t>Foodstuffs South Island</w:t>
            </w:r>
          </w:p>
        </w:tc>
        <w:tc>
          <w:tcPr>
            <w:tcW w:w="4210" w:type="pct"/>
          </w:tcPr>
          <w:p w14:paraId="2954C2D4" w14:textId="3FA717C4" w:rsidR="00637FEC" w:rsidRDefault="00DB5B1F" w:rsidP="009939A6">
            <w:r w:rsidRPr="00DB5B1F">
              <w:rPr>
                <w:lang w:val="en-GB"/>
              </w:rPr>
              <w:t>Foodstuffs S</w:t>
            </w:r>
            <w:r>
              <w:rPr>
                <w:lang w:val="en-GB"/>
              </w:rPr>
              <w:t xml:space="preserve">outh </w:t>
            </w:r>
            <w:r w:rsidRPr="00DB5B1F">
              <w:rPr>
                <w:lang w:val="en-GB"/>
              </w:rPr>
              <w:t>I</w:t>
            </w:r>
            <w:r>
              <w:rPr>
                <w:lang w:val="en-GB"/>
              </w:rPr>
              <w:t>sland</w:t>
            </w:r>
            <w:r w:rsidRPr="00DB5B1F">
              <w:rPr>
                <w:lang w:val="en-GB"/>
              </w:rPr>
              <w:t xml:space="preserve"> </w:t>
            </w:r>
            <w:r w:rsidR="003F01DA">
              <w:rPr>
                <w:lang w:val="en-GB"/>
              </w:rPr>
              <w:t xml:space="preserve">operates the retail banners </w:t>
            </w:r>
            <w:r w:rsidRPr="00DB5B1F">
              <w:rPr>
                <w:lang w:val="en-GB"/>
              </w:rPr>
              <w:t>New World, PAK’nSAVE</w:t>
            </w:r>
            <w:r w:rsidR="007B4B10">
              <w:rPr>
                <w:lang w:val="en-GB"/>
              </w:rPr>
              <w:t>,</w:t>
            </w:r>
            <w:r w:rsidRPr="00DB5B1F">
              <w:rPr>
                <w:lang w:val="en-GB"/>
              </w:rPr>
              <w:t xml:space="preserve"> Four Square, Raeward Fresh and On the Spot across the South Island</w:t>
            </w:r>
            <w:r w:rsidR="003C2412">
              <w:t>.</w:t>
            </w:r>
            <w:r w:rsidR="003F01DA">
              <w:t xml:space="preserve"> It is a cooperative with owner operated stores that have a franchisee agreement with Foodstuffs South Island.</w:t>
            </w:r>
          </w:p>
        </w:tc>
      </w:tr>
      <w:tr w:rsidR="00975A6E" w14:paraId="004103F1" w14:textId="77777777" w:rsidTr="001522F9">
        <w:trPr>
          <w:trHeight w:val="268"/>
        </w:trPr>
        <w:tc>
          <w:tcPr>
            <w:tcW w:w="790" w:type="pct"/>
          </w:tcPr>
          <w:p w14:paraId="4951C37A" w14:textId="1F64B03D" w:rsidR="00975A6E" w:rsidRDefault="00975A6E" w:rsidP="001B1261">
            <w:pPr>
              <w:rPr>
                <w:b/>
                <w:bCs/>
              </w:rPr>
            </w:pPr>
            <w:r>
              <w:rPr>
                <w:b/>
                <w:bCs/>
              </w:rPr>
              <w:t>Forward buying</w:t>
            </w:r>
          </w:p>
        </w:tc>
        <w:tc>
          <w:tcPr>
            <w:tcW w:w="4210" w:type="pct"/>
          </w:tcPr>
          <w:p w14:paraId="60C4FD94" w14:textId="58E0602A" w:rsidR="00975A6E" w:rsidRDefault="00615F69" w:rsidP="001B1261">
            <w:r>
              <w:t>See Investment buying.</w:t>
            </w:r>
          </w:p>
        </w:tc>
      </w:tr>
      <w:tr w:rsidR="006112A1" w14:paraId="3F799F09" w14:textId="77777777" w:rsidTr="001522F9">
        <w:trPr>
          <w:trHeight w:val="268"/>
        </w:trPr>
        <w:tc>
          <w:tcPr>
            <w:tcW w:w="790" w:type="pct"/>
          </w:tcPr>
          <w:p w14:paraId="436C567E" w14:textId="77777777" w:rsidR="006112A1" w:rsidRPr="009939A6" w:rsidRDefault="006112A1" w:rsidP="001B1261">
            <w:pPr>
              <w:rPr>
                <w:b/>
                <w:bCs/>
              </w:rPr>
            </w:pPr>
            <w:r>
              <w:rPr>
                <w:b/>
                <w:bCs/>
              </w:rPr>
              <w:t>Groceries / Grocery products</w:t>
            </w:r>
          </w:p>
        </w:tc>
        <w:tc>
          <w:tcPr>
            <w:tcW w:w="4210" w:type="pct"/>
          </w:tcPr>
          <w:p w14:paraId="2E3EEF93" w14:textId="77777777" w:rsidR="006112A1" w:rsidRPr="00371F81" w:rsidRDefault="006112A1" w:rsidP="001B1261">
            <w:r>
              <w:t>The Commissions’ market study considered groceries or grocery products to be meat, fruit and vegetables, canned goods, dairy products, and a range of other household products like toilet paper, cleaning products and pet food, and alcohol and tobacco where sold by grocery retailers.</w:t>
            </w:r>
          </w:p>
        </w:tc>
      </w:tr>
      <w:tr w:rsidR="00293532" w14:paraId="7371002A" w14:textId="77777777" w:rsidTr="001522F9">
        <w:trPr>
          <w:trHeight w:val="268"/>
        </w:trPr>
        <w:tc>
          <w:tcPr>
            <w:tcW w:w="790" w:type="pct"/>
          </w:tcPr>
          <w:p w14:paraId="7504B02A" w14:textId="19A1FAE6" w:rsidR="009939A6" w:rsidRPr="009939A6" w:rsidRDefault="009939A6" w:rsidP="009939A6">
            <w:pPr>
              <w:rPr>
                <w:b/>
                <w:bCs/>
              </w:rPr>
            </w:pPr>
            <w:r w:rsidRPr="009939A6">
              <w:rPr>
                <w:b/>
                <w:bCs/>
              </w:rPr>
              <w:lastRenderedPageBreak/>
              <w:t xml:space="preserve">Grocery </w:t>
            </w:r>
            <w:r w:rsidR="003C2412">
              <w:rPr>
                <w:b/>
                <w:bCs/>
              </w:rPr>
              <w:t>s</w:t>
            </w:r>
            <w:r w:rsidRPr="009939A6">
              <w:rPr>
                <w:b/>
                <w:bCs/>
              </w:rPr>
              <w:t>upply agreement</w:t>
            </w:r>
          </w:p>
        </w:tc>
        <w:tc>
          <w:tcPr>
            <w:tcW w:w="4210" w:type="pct"/>
          </w:tcPr>
          <w:p w14:paraId="4FE731DE" w14:textId="53779F69" w:rsidR="009939A6" w:rsidRDefault="00293532" w:rsidP="009939A6">
            <w:r>
              <w:t>R</w:t>
            </w:r>
            <w:r w:rsidR="009939A6" w:rsidRPr="00371F81">
              <w:t>efer</w:t>
            </w:r>
            <w:r>
              <w:t>s</w:t>
            </w:r>
            <w:r w:rsidR="009939A6" w:rsidRPr="00371F81">
              <w:t xml:space="preserve"> to </w:t>
            </w:r>
            <w:r w:rsidR="002763FE">
              <w:t xml:space="preserve">the relevant </w:t>
            </w:r>
            <w:r w:rsidR="009939A6" w:rsidRPr="00371F81">
              <w:t xml:space="preserve">grocery supply agreement and </w:t>
            </w:r>
            <w:r w:rsidR="002763FE">
              <w:t>all</w:t>
            </w:r>
            <w:r w:rsidR="002763FE" w:rsidRPr="00371F81">
              <w:t xml:space="preserve"> </w:t>
            </w:r>
            <w:r w:rsidR="009939A6" w:rsidRPr="00371F81">
              <w:t>other details that may sit under the agreement</w:t>
            </w:r>
            <w:r w:rsidR="00115E86">
              <w:t>,</w:t>
            </w:r>
            <w:r w:rsidR="009939A6" w:rsidRPr="00371F81">
              <w:t xml:space="preserve"> such as settlement terms, delivery arrangements and any discounts or rebates off the ‘list price’.</w:t>
            </w:r>
            <w:r w:rsidR="004B5F4B">
              <w:t xml:space="preserve"> Also called ‘</w:t>
            </w:r>
            <w:r w:rsidR="004B5F4B" w:rsidRPr="00371F81">
              <w:t>supply agreement’</w:t>
            </w:r>
            <w:r w:rsidR="004B5F4B">
              <w:t>.</w:t>
            </w:r>
          </w:p>
        </w:tc>
      </w:tr>
      <w:tr w:rsidR="00975A6E" w14:paraId="79A9CCD4" w14:textId="77777777" w:rsidTr="001522F9">
        <w:trPr>
          <w:trHeight w:val="268"/>
        </w:trPr>
        <w:tc>
          <w:tcPr>
            <w:tcW w:w="790" w:type="pct"/>
          </w:tcPr>
          <w:p w14:paraId="7DF5AAF5" w14:textId="6FEE8031" w:rsidR="00975A6E" w:rsidRPr="009939A6" w:rsidRDefault="00975A6E" w:rsidP="009939A6">
            <w:pPr>
              <w:rPr>
                <w:b/>
                <w:bCs/>
              </w:rPr>
            </w:pPr>
            <w:r>
              <w:rPr>
                <w:b/>
                <w:bCs/>
              </w:rPr>
              <w:t>Investment buying</w:t>
            </w:r>
          </w:p>
        </w:tc>
        <w:tc>
          <w:tcPr>
            <w:tcW w:w="4210" w:type="pct"/>
          </w:tcPr>
          <w:p w14:paraId="3C747FC6" w14:textId="77777777" w:rsidR="00615F69" w:rsidRDefault="00615F69" w:rsidP="00615F69">
            <w:r>
              <w:t xml:space="preserve">Retailers stockpiling products purchased from a supplier at a reduced price during a buy-in period to a promotion. </w:t>
            </w:r>
          </w:p>
          <w:p w14:paraId="54AC8652" w14:textId="32D617AE" w:rsidR="00975A6E" w:rsidRDefault="00615F69" w:rsidP="00615F69">
            <w:r>
              <w:t>Also referred to as Forward buying.</w:t>
            </w:r>
          </w:p>
        </w:tc>
      </w:tr>
      <w:tr w:rsidR="00293532" w14:paraId="55B832E0" w14:textId="77777777" w:rsidTr="001522F9">
        <w:trPr>
          <w:trHeight w:val="268"/>
        </w:trPr>
        <w:tc>
          <w:tcPr>
            <w:tcW w:w="790" w:type="pct"/>
          </w:tcPr>
          <w:p w14:paraId="5E67D14F" w14:textId="77087DCE" w:rsidR="00637FEC" w:rsidRPr="009939A6" w:rsidRDefault="00637FEC" w:rsidP="009939A6">
            <w:pPr>
              <w:rPr>
                <w:b/>
                <w:bCs/>
              </w:rPr>
            </w:pPr>
            <w:r w:rsidRPr="009939A6">
              <w:rPr>
                <w:b/>
                <w:bCs/>
              </w:rPr>
              <w:t>Major grocery retailers</w:t>
            </w:r>
          </w:p>
        </w:tc>
        <w:tc>
          <w:tcPr>
            <w:tcW w:w="4210" w:type="pct"/>
          </w:tcPr>
          <w:p w14:paraId="4FD5BCC8" w14:textId="71591220" w:rsidR="00970552" w:rsidRPr="00DB5B1F" w:rsidRDefault="009939A6" w:rsidP="009939A6">
            <w:r>
              <w:t>Include</w:t>
            </w:r>
            <w:r w:rsidR="002763FE">
              <w:t>s</w:t>
            </w:r>
            <w:r w:rsidR="00DB5B1F">
              <w:t xml:space="preserve"> Foodstuffs North Island, Foodstuffs South Island and Woolworths NZ</w:t>
            </w:r>
            <w:r w:rsidR="00115E86">
              <w:t>, together with</w:t>
            </w:r>
            <w:r w:rsidR="00970552">
              <w:t xml:space="preserve"> their cooperative members and franchisee </w:t>
            </w:r>
            <w:r w:rsidR="008F051E">
              <w:t xml:space="preserve">retail grocery </w:t>
            </w:r>
            <w:r w:rsidR="00970552">
              <w:t>stores</w:t>
            </w:r>
            <w:r w:rsidR="002763FE">
              <w:t>, as at June 2022</w:t>
            </w:r>
          </w:p>
        </w:tc>
      </w:tr>
      <w:tr w:rsidR="00293532" w14:paraId="2F0DCADD" w14:textId="77777777" w:rsidTr="001522F9">
        <w:trPr>
          <w:trHeight w:val="268"/>
        </w:trPr>
        <w:tc>
          <w:tcPr>
            <w:tcW w:w="790" w:type="pct"/>
          </w:tcPr>
          <w:p w14:paraId="6002A633" w14:textId="77777777" w:rsidR="009939A6" w:rsidRPr="009939A6" w:rsidRDefault="009939A6" w:rsidP="009939A6">
            <w:pPr>
              <w:rPr>
                <w:b/>
                <w:bCs/>
              </w:rPr>
            </w:pPr>
            <w:r w:rsidRPr="009939A6">
              <w:rPr>
                <w:b/>
                <w:bCs/>
              </w:rPr>
              <w:t>MBIE</w:t>
            </w:r>
          </w:p>
        </w:tc>
        <w:tc>
          <w:tcPr>
            <w:tcW w:w="4210" w:type="pct"/>
          </w:tcPr>
          <w:p w14:paraId="60AEDAD3" w14:textId="77777777" w:rsidR="009939A6" w:rsidRDefault="009939A6" w:rsidP="009939A6">
            <w:r>
              <w:t>Ministry of Business, Innovation and Employment</w:t>
            </w:r>
            <w:r w:rsidR="007B7939">
              <w:t>.</w:t>
            </w:r>
          </w:p>
        </w:tc>
      </w:tr>
      <w:tr w:rsidR="001522F9" w14:paraId="6BB2BC7F" w14:textId="77777777" w:rsidTr="001522F9">
        <w:trPr>
          <w:trHeight w:val="268"/>
        </w:trPr>
        <w:tc>
          <w:tcPr>
            <w:tcW w:w="790" w:type="pct"/>
          </w:tcPr>
          <w:p w14:paraId="3B56C662" w14:textId="70768FDA" w:rsidR="001522F9" w:rsidRPr="009939A6" w:rsidRDefault="001522F9" w:rsidP="009939A6">
            <w:pPr>
              <w:rPr>
                <w:b/>
                <w:bCs/>
              </w:rPr>
            </w:pPr>
            <w:r>
              <w:rPr>
                <w:b/>
                <w:bCs/>
              </w:rPr>
              <w:t>Merchandising work</w:t>
            </w:r>
          </w:p>
        </w:tc>
        <w:tc>
          <w:tcPr>
            <w:tcW w:w="4210" w:type="pct"/>
          </w:tcPr>
          <w:p w14:paraId="0B0576FF" w14:textId="4DB87D70" w:rsidR="001522F9" w:rsidRDefault="001522F9" w:rsidP="009939A6">
            <w:r>
              <w:t>Also called retailers business activities. Typically includes a buyer’s visit to the supplier, artwork or packaging design, consumer or market research, the opening or refurbishing of a store, and hospitality for the retailer’s staff.</w:t>
            </w:r>
          </w:p>
        </w:tc>
      </w:tr>
      <w:tr w:rsidR="00293532" w14:paraId="0925A35E" w14:textId="77777777" w:rsidTr="001522F9">
        <w:trPr>
          <w:trHeight w:val="268"/>
        </w:trPr>
        <w:tc>
          <w:tcPr>
            <w:tcW w:w="790" w:type="pct"/>
          </w:tcPr>
          <w:p w14:paraId="50C10624" w14:textId="1CA01F4B" w:rsidR="00920AB3" w:rsidRPr="009939A6" w:rsidRDefault="00920AB3" w:rsidP="009939A6">
            <w:pPr>
              <w:rPr>
                <w:b/>
                <w:bCs/>
              </w:rPr>
            </w:pPr>
            <w:r>
              <w:rPr>
                <w:b/>
                <w:bCs/>
              </w:rPr>
              <w:t>Other grocery retailers</w:t>
            </w:r>
          </w:p>
        </w:tc>
        <w:tc>
          <w:tcPr>
            <w:tcW w:w="4210" w:type="pct"/>
          </w:tcPr>
          <w:p w14:paraId="18156DE5" w14:textId="7C3D5AF6" w:rsidR="00920AB3" w:rsidRDefault="00920AB3" w:rsidP="009939A6">
            <w:r>
              <w:t xml:space="preserve">Non-major grocery retailers. This includes </w:t>
            </w:r>
            <w:r w:rsidRPr="00387CDD">
              <w:t>online-only retailers, convenience stores, corner dairies, and specialist grocery stores</w:t>
            </w:r>
            <w:r>
              <w:t xml:space="preserve"> (eg Supie, Night ‘n Day, dairies, convenience stores, etc).</w:t>
            </w:r>
          </w:p>
        </w:tc>
      </w:tr>
      <w:tr w:rsidR="00293532" w14:paraId="3D45A1B1" w14:textId="77777777" w:rsidTr="001522F9">
        <w:trPr>
          <w:trHeight w:val="268"/>
        </w:trPr>
        <w:tc>
          <w:tcPr>
            <w:tcW w:w="790" w:type="pct"/>
          </w:tcPr>
          <w:p w14:paraId="4A32D38E" w14:textId="77777777" w:rsidR="009939A6" w:rsidRPr="009939A6" w:rsidRDefault="009939A6" w:rsidP="009939A6">
            <w:pPr>
              <w:rPr>
                <w:b/>
                <w:bCs/>
              </w:rPr>
            </w:pPr>
            <w:r w:rsidRPr="009939A6">
              <w:rPr>
                <w:b/>
                <w:bCs/>
              </w:rPr>
              <w:t>Promotional buying</w:t>
            </w:r>
          </w:p>
        </w:tc>
        <w:tc>
          <w:tcPr>
            <w:tcW w:w="4210" w:type="pct"/>
          </w:tcPr>
          <w:p w14:paraId="1AEAD04C" w14:textId="01194D5D" w:rsidR="009939A6" w:rsidRDefault="009939A6" w:rsidP="009939A6">
            <w:r>
              <w:t>Buying of stock from a supplier at a negotiated promotional price.</w:t>
            </w:r>
          </w:p>
        </w:tc>
      </w:tr>
      <w:tr w:rsidR="00293532" w14:paraId="7B2D2069" w14:textId="77777777" w:rsidTr="001522F9">
        <w:trPr>
          <w:trHeight w:val="268"/>
        </w:trPr>
        <w:tc>
          <w:tcPr>
            <w:tcW w:w="790" w:type="pct"/>
          </w:tcPr>
          <w:p w14:paraId="65D6E098" w14:textId="21724278" w:rsidR="00637FEC" w:rsidRPr="009939A6" w:rsidRDefault="00D4176E" w:rsidP="009939A6">
            <w:pPr>
              <w:rPr>
                <w:b/>
                <w:bCs/>
              </w:rPr>
            </w:pPr>
            <w:r w:rsidRPr="009939A6">
              <w:rPr>
                <w:b/>
                <w:bCs/>
              </w:rPr>
              <w:t>Retrospective variation</w:t>
            </w:r>
          </w:p>
        </w:tc>
        <w:tc>
          <w:tcPr>
            <w:tcW w:w="4210" w:type="pct"/>
          </w:tcPr>
          <w:p w14:paraId="7F7308FF" w14:textId="6733766C" w:rsidR="00637FEC" w:rsidRDefault="003F166E" w:rsidP="009939A6">
            <w:r>
              <w:t xml:space="preserve">A retrospective variation to a </w:t>
            </w:r>
            <w:r w:rsidR="00C80BEB">
              <w:t xml:space="preserve">grocery </w:t>
            </w:r>
            <w:r>
              <w:t xml:space="preserve">supply agreement is a </w:t>
            </w:r>
            <w:r w:rsidR="002763FE">
              <w:t xml:space="preserve">subset of </w:t>
            </w:r>
            <w:r>
              <w:t xml:space="preserve">unilateral </w:t>
            </w:r>
            <w:r w:rsidR="002763FE">
              <w:t xml:space="preserve">variation </w:t>
            </w:r>
            <w:r>
              <w:t>that modifies something from the past.</w:t>
            </w:r>
          </w:p>
        </w:tc>
      </w:tr>
      <w:tr w:rsidR="00293532" w14:paraId="5AEABB37" w14:textId="77777777" w:rsidTr="001522F9">
        <w:trPr>
          <w:trHeight w:val="268"/>
        </w:trPr>
        <w:tc>
          <w:tcPr>
            <w:tcW w:w="790" w:type="pct"/>
          </w:tcPr>
          <w:p w14:paraId="6B088E36" w14:textId="77777777" w:rsidR="009939A6" w:rsidRPr="009939A6" w:rsidRDefault="009939A6" w:rsidP="009939A6">
            <w:pPr>
              <w:rPr>
                <w:b/>
                <w:bCs/>
              </w:rPr>
            </w:pPr>
            <w:r w:rsidRPr="009939A6">
              <w:rPr>
                <w:b/>
                <w:bCs/>
              </w:rPr>
              <w:t>Set-offs</w:t>
            </w:r>
          </w:p>
        </w:tc>
        <w:tc>
          <w:tcPr>
            <w:tcW w:w="4210" w:type="pct"/>
          </w:tcPr>
          <w:p w14:paraId="42448D3A" w14:textId="29542D27" w:rsidR="009939A6" w:rsidRDefault="003F01DA" w:rsidP="009939A6">
            <w:r>
              <w:t>In the context of this paper, s</w:t>
            </w:r>
            <w:r w:rsidR="009939A6">
              <w:t xml:space="preserve">et-offs are </w:t>
            </w:r>
            <w:r w:rsidR="00587BCF">
              <w:t>when</w:t>
            </w:r>
            <w:r w:rsidR="009939A6">
              <w:t xml:space="preserve"> </w:t>
            </w:r>
            <w:r w:rsidR="002E30E7">
              <w:t xml:space="preserve">the </w:t>
            </w:r>
            <w:r w:rsidR="00303AEB">
              <w:t xml:space="preserve">major </w:t>
            </w:r>
            <w:r w:rsidR="007B7939">
              <w:t xml:space="preserve">grocery </w:t>
            </w:r>
            <w:r w:rsidR="009939A6">
              <w:t xml:space="preserve">retailer deducts any amount it is owed by a supplier when paying </w:t>
            </w:r>
            <w:r w:rsidR="00C80BEB">
              <w:t>the</w:t>
            </w:r>
            <w:r w:rsidR="009939A6">
              <w:t xml:space="preserve"> supplier’s invoice.</w:t>
            </w:r>
          </w:p>
        </w:tc>
      </w:tr>
      <w:tr w:rsidR="00293532" w14:paraId="303B3A47" w14:textId="77777777" w:rsidTr="001522F9">
        <w:trPr>
          <w:trHeight w:val="268"/>
        </w:trPr>
        <w:tc>
          <w:tcPr>
            <w:tcW w:w="790" w:type="pct"/>
          </w:tcPr>
          <w:p w14:paraId="273CD6F4" w14:textId="77777777" w:rsidR="009939A6" w:rsidRPr="009939A6" w:rsidRDefault="009939A6" w:rsidP="009939A6">
            <w:pPr>
              <w:rPr>
                <w:b/>
                <w:bCs/>
              </w:rPr>
            </w:pPr>
            <w:r w:rsidRPr="009939A6">
              <w:rPr>
                <w:b/>
                <w:bCs/>
              </w:rPr>
              <w:t>Shrinkage</w:t>
            </w:r>
          </w:p>
        </w:tc>
        <w:tc>
          <w:tcPr>
            <w:tcW w:w="4210" w:type="pct"/>
          </w:tcPr>
          <w:p w14:paraId="640F0B8E" w14:textId="77777777" w:rsidR="009939A6" w:rsidRDefault="009939A6" w:rsidP="009939A6">
            <w:r>
              <w:t>Shrinkage is a loss of grocery products due to theft, other loss or accounting error</w:t>
            </w:r>
            <w:r w:rsidR="007B7939">
              <w:t>.</w:t>
            </w:r>
          </w:p>
        </w:tc>
      </w:tr>
      <w:tr w:rsidR="00293532" w14:paraId="7C6E2DA9" w14:textId="77777777" w:rsidTr="001522F9">
        <w:trPr>
          <w:trHeight w:val="268"/>
        </w:trPr>
        <w:tc>
          <w:tcPr>
            <w:tcW w:w="790" w:type="pct"/>
          </w:tcPr>
          <w:p w14:paraId="02B07A91" w14:textId="77777777" w:rsidR="009939A6" w:rsidRPr="009939A6" w:rsidRDefault="009939A6" w:rsidP="009939A6">
            <w:pPr>
              <w:rPr>
                <w:b/>
                <w:bCs/>
              </w:rPr>
            </w:pPr>
            <w:r w:rsidRPr="009939A6">
              <w:rPr>
                <w:b/>
                <w:bCs/>
              </w:rPr>
              <w:t>UK Code</w:t>
            </w:r>
          </w:p>
        </w:tc>
        <w:tc>
          <w:tcPr>
            <w:tcW w:w="4210" w:type="pct"/>
          </w:tcPr>
          <w:p w14:paraId="06D522C4" w14:textId="77777777" w:rsidR="009939A6" w:rsidRDefault="009939A6" w:rsidP="009939A6">
            <w:r>
              <w:t xml:space="preserve">The United Kingdom </w:t>
            </w:r>
            <w:r w:rsidRPr="00CA1C7F">
              <w:rPr>
                <w:i/>
              </w:rPr>
              <w:t>Groceries Supply Code of Practice</w:t>
            </w:r>
            <w:r>
              <w:t xml:space="preserve"> which </w:t>
            </w:r>
            <w:bookmarkStart w:id="23" w:name="_Hlk104909955"/>
            <w:r w:rsidR="007F571D">
              <w:t>is schedule 1 of</w:t>
            </w:r>
            <w:r>
              <w:t xml:space="preserve"> the Groceries (Supply Chain Practices) Market Investigation Order 2009. </w:t>
            </w:r>
            <w:r w:rsidR="007F571D">
              <w:t>The UK Code</w:t>
            </w:r>
            <w:r>
              <w:t xml:space="preserve"> is </w:t>
            </w:r>
            <w:r w:rsidR="002E30E7">
              <w:t xml:space="preserve">supported </w:t>
            </w:r>
            <w:r>
              <w:t>by the Groceries Code Adjudicator Act 2013.</w:t>
            </w:r>
            <w:bookmarkEnd w:id="23"/>
          </w:p>
          <w:p w14:paraId="475AAB65" w14:textId="00CA376E" w:rsidR="003F01DA" w:rsidRDefault="0074633B" w:rsidP="009939A6">
            <w:hyperlink r:id="rId23" w:history="1">
              <w:r w:rsidR="003F01DA" w:rsidRPr="007F518A">
                <w:rPr>
                  <w:rStyle w:val="Hyperlink"/>
                  <w:rFonts w:asciiTheme="minorHAnsi" w:hAnsiTheme="minorHAnsi"/>
                </w:rPr>
                <w:t>https://www.gov.uk/government/publications/groceries-supply-code-of-practice/groceries-supply-code-of-practice</w:t>
              </w:r>
            </w:hyperlink>
            <w:r w:rsidR="003F01DA">
              <w:t xml:space="preserve"> </w:t>
            </w:r>
          </w:p>
        </w:tc>
      </w:tr>
      <w:tr w:rsidR="00243358" w14:paraId="163A2276" w14:textId="77777777" w:rsidTr="001522F9">
        <w:trPr>
          <w:trHeight w:val="268"/>
        </w:trPr>
        <w:tc>
          <w:tcPr>
            <w:tcW w:w="790" w:type="pct"/>
          </w:tcPr>
          <w:p w14:paraId="3343A262" w14:textId="2499697D" w:rsidR="00243358" w:rsidRPr="009939A6" w:rsidRDefault="00243358" w:rsidP="009939A6">
            <w:pPr>
              <w:rPr>
                <w:b/>
                <w:bCs/>
              </w:rPr>
            </w:pPr>
            <w:r>
              <w:rPr>
                <w:b/>
                <w:bCs/>
              </w:rPr>
              <w:t>UK Order</w:t>
            </w:r>
          </w:p>
        </w:tc>
        <w:tc>
          <w:tcPr>
            <w:tcW w:w="4210" w:type="pct"/>
          </w:tcPr>
          <w:p w14:paraId="65900198" w14:textId="77777777" w:rsidR="00243358" w:rsidRDefault="00243358" w:rsidP="009939A6">
            <w:pPr>
              <w:rPr>
                <w:i/>
                <w:iCs/>
              </w:rPr>
            </w:pPr>
            <w:r>
              <w:t xml:space="preserve">The United Kingdom Groceries (Supply Chain Practices) Market Investigation Order 2009 which contains the </w:t>
            </w:r>
            <w:r>
              <w:rPr>
                <w:i/>
                <w:iCs/>
              </w:rPr>
              <w:t xml:space="preserve">Groceries Supply Code of Practice. </w:t>
            </w:r>
          </w:p>
          <w:p w14:paraId="44B95D39" w14:textId="34C7EEBC" w:rsidR="003F01DA" w:rsidRPr="00243358" w:rsidRDefault="0074633B" w:rsidP="009939A6">
            <w:hyperlink r:id="rId24" w:history="1">
              <w:r w:rsidR="001522F9" w:rsidRPr="00B43821">
                <w:rPr>
                  <w:rStyle w:val="Hyperlink"/>
                  <w:rFonts w:asciiTheme="minorHAnsi" w:hAnsiTheme="minorHAnsi"/>
                </w:rPr>
                <w:t>https://webarchive.nationalarchives.gov.uk/ukgwa/20111108202701/</w:t>
              </w:r>
              <w:r w:rsidR="001522F9" w:rsidRPr="00B43821">
                <w:rPr>
                  <w:rStyle w:val="Hyperlink"/>
                  <w:rFonts w:asciiTheme="minorHAnsi" w:hAnsiTheme="minorHAnsi"/>
                </w:rPr>
                <w:br/>
                <w:t>http://competition-commission.org.uk/inquiries/ref2006/grocery/pdf/revised</w:t>
              </w:r>
              <w:r w:rsidR="001522F9" w:rsidRPr="00B43821">
                <w:rPr>
                  <w:rStyle w:val="Hyperlink"/>
                  <w:rFonts w:asciiTheme="minorHAnsi" w:hAnsiTheme="minorHAnsi"/>
                </w:rPr>
                <w:br/>
                <w:t>_gscop_order.pdf</w:t>
              </w:r>
            </w:hyperlink>
            <w:r w:rsidR="003F01DA">
              <w:t xml:space="preserve"> </w:t>
            </w:r>
          </w:p>
        </w:tc>
      </w:tr>
      <w:tr w:rsidR="00293532" w14:paraId="2D7F7A5B" w14:textId="77777777" w:rsidTr="001522F9">
        <w:trPr>
          <w:trHeight w:val="268"/>
        </w:trPr>
        <w:tc>
          <w:tcPr>
            <w:tcW w:w="790" w:type="pct"/>
          </w:tcPr>
          <w:p w14:paraId="058BA5D6" w14:textId="77777777" w:rsidR="009939A6" w:rsidRPr="009939A6" w:rsidRDefault="009939A6" w:rsidP="009939A6">
            <w:pPr>
              <w:rPr>
                <w:b/>
                <w:bCs/>
              </w:rPr>
            </w:pPr>
            <w:r w:rsidRPr="009939A6">
              <w:rPr>
                <w:b/>
                <w:bCs/>
              </w:rPr>
              <w:t>Unilateral variation</w:t>
            </w:r>
          </w:p>
        </w:tc>
        <w:tc>
          <w:tcPr>
            <w:tcW w:w="4210" w:type="pct"/>
          </w:tcPr>
          <w:p w14:paraId="5965B28C" w14:textId="5E6BDF25" w:rsidR="009939A6" w:rsidRDefault="009939A6" w:rsidP="009939A6">
            <w:pPr>
              <w:pStyle w:val="Numbered"/>
              <w:numPr>
                <w:ilvl w:val="0"/>
                <w:numId w:val="0"/>
              </w:numPr>
              <w:spacing w:before="0"/>
            </w:pPr>
            <w:r>
              <w:t xml:space="preserve">A unilateral variation to a </w:t>
            </w:r>
            <w:r w:rsidR="00B00D4A">
              <w:t xml:space="preserve">grocery </w:t>
            </w:r>
            <w:r>
              <w:t>supply agreement is a change made by one party without requiring the agreement of the other party.</w:t>
            </w:r>
          </w:p>
        </w:tc>
      </w:tr>
      <w:tr w:rsidR="00293532" w14:paraId="27088282" w14:textId="77777777" w:rsidTr="001522F9">
        <w:trPr>
          <w:trHeight w:val="268"/>
        </w:trPr>
        <w:tc>
          <w:tcPr>
            <w:tcW w:w="790" w:type="pct"/>
          </w:tcPr>
          <w:p w14:paraId="0AAD1238" w14:textId="77777777" w:rsidR="009939A6" w:rsidRPr="009939A6" w:rsidRDefault="009939A6" w:rsidP="009939A6">
            <w:pPr>
              <w:rPr>
                <w:b/>
                <w:bCs/>
              </w:rPr>
            </w:pPr>
            <w:r w:rsidRPr="009939A6">
              <w:rPr>
                <w:b/>
                <w:bCs/>
              </w:rPr>
              <w:t>Wastage</w:t>
            </w:r>
          </w:p>
        </w:tc>
        <w:tc>
          <w:tcPr>
            <w:tcW w:w="4210" w:type="pct"/>
          </w:tcPr>
          <w:p w14:paraId="2CA091DC" w14:textId="21D12B97" w:rsidR="009939A6" w:rsidRDefault="009939A6" w:rsidP="009939A6">
            <w:pPr>
              <w:pStyle w:val="Numbered"/>
              <w:numPr>
                <w:ilvl w:val="0"/>
                <w:numId w:val="0"/>
              </w:numPr>
              <w:spacing w:before="0"/>
            </w:pPr>
            <w:r>
              <w:t xml:space="preserve">Wastage </w:t>
            </w:r>
            <w:r w:rsidR="007F571D">
              <w:t>refers to</w:t>
            </w:r>
            <w:r>
              <w:t xml:space="preserve"> grocery products that are unfit for sale </w:t>
            </w:r>
            <w:r w:rsidR="007F571D">
              <w:t>(</w:t>
            </w:r>
            <w:r>
              <w:t>for example due to damage</w:t>
            </w:r>
            <w:r w:rsidR="007F571D">
              <w:t>)</w:t>
            </w:r>
            <w:r>
              <w:t>.</w:t>
            </w:r>
          </w:p>
        </w:tc>
      </w:tr>
      <w:tr w:rsidR="00293532" w14:paraId="1EBFA755" w14:textId="77777777" w:rsidTr="001522F9">
        <w:trPr>
          <w:trHeight w:val="268"/>
        </w:trPr>
        <w:tc>
          <w:tcPr>
            <w:tcW w:w="790" w:type="pct"/>
          </w:tcPr>
          <w:p w14:paraId="7B910F41" w14:textId="77777777" w:rsidR="009939A6" w:rsidRPr="009939A6" w:rsidRDefault="009939A6" w:rsidP="009939A6">
            <w:pPr>
              <w:rPr>
                <w:b/>
                <w:bCs/>
              </w:rPr>
            </w:pPr>
            <w:r w:rsidRPr="009939A6">
              <w:rPr>
                <w:b/>
                <w:bCs/>
              </w:rPr>
              <w:t>Woolworths NZ</w:t>
            </w:r>
          </w:p>
        </w:tc>
        <w:tc>
          <w:tcPr>
            <w:tcW w:w="4210" w:type="pct"/>
          </w:tcPr>
          <w:p w14:paraId="0703256E" w14:textId="097B8ECF" w:rsidR="009939A6" w:rsidRPr="005406BE" w:rsidRDefault="009939A6" w:rsidP="009939A6">
            <w:pPr>
              <w:rPr>
                <w:lang w:val="en-GB"/>
              </w:rPr>
            </w:pPr>
            <w:r w:rsidRPr="00DB5B1F">
              <w:rPr>
                <w:lang w:val="en-GB"/>
              </w:rPr>
              <w:t xml:space="preserve">Woolworths NZ </w:t>
            </w:r>
            <w:r w:rsidR="00177FDF">
              <w:rPr>
                <w:lang w:val="en-GB"/>
              </w:rPr>
              <w:t>owns the</w:t>
            </w:r>
            <w:r w:rsidRPr="00DB5B1F">
              <w:rPr>
                <w:lang w:val="en-GB"/>
              </w:rPr>
              <w:t xml:space="preserve"> Countdown</w:t>
            </w:r>
            <w:r>
              <w:rPr>
                <w:lang w:val="en-GB"/>
              </w:rPr>
              <w:t xml:space="preserve"> </w:t>
            </w:r>
            <w:r w:rsidR="00177FDF">
              <w:rPr>
                <w:lang w:val="en-GB"/>
              </w:rPr>
              <w:t xml:space="preserve">retail banner and is franchisor to the </w:t>
            </w:r>
            <w:r w:rsidRPr="00DB5B1F">
              <w:rPr>
                <w:lang w:val="en-GB"/>
              </w:rPr>
              <w:t>Fresh Choice and SuperValue</w:t>
            </w:r>
            <w:r>
              <w:rPr>
                <w:lang w:val="en-GB"/>
              </w:rPr>
              <w:t xml:space="preserve"> </w:t>
            </w:r>
            <w:r w:rsidR="00177FDF">
              <w:rPr>
                <w:lang w:val="en-GB"/>
              </w:rPr>
              <w:t>stores, which are locally owned and operated</w:t>
            </w:r>
            <w:r w:rsidRPr="00DB5B1F">
              <w:rPr>
                <w:lang w:val="en-GB"/>
              </w:rPr>
              <w:t>.</w:t>
            </w:r>
          </w:p>
        </w:tc>
      </w:tr>
    </w:tbl>
    <w:p w14:paraId="284AA942" w14:textId="0BD0809D" w:rsidR="00E803F5" w:rsidRDefault="00E803F5" w:rsidP="00BE6906">
      <w:r>
        <w:br w:type="page"/>
      </w:r>
    </w:p>
    <w:p w14:paraId="3F4FC014" w14:textId="77777777" w:rsidR="002056E6" w:rsidRDefault="002056E6" w:rsidP="002056E6">
      <w:pPr>
        <w:pStyle w:val="Heading1"/>
      </w:pPr>
      <w:bookmarkStart w:id="24" w:name="_Toc103173677"/>
      <w:bookmarkStart w:id="25" w:name="_Toc104358638"/>
      <w:bookmarkStart w:id="26" w:name="_Toc107919613"/>
      <w:r>
        <w:lastRenderedPageBreak/>
        <w:t>Background and context</w:t>
      </w:r>
      <w:bookmarkEnd w:id="24"/>
      <w:bookmarkEnd w:id="25"/>
      <w:bookmarkEnd w:id="26"/>
    </w:p>
    <w:p w14:paraId="1201C50E" w14:textId="77777777" w:rsidR="009454D5" w:rsidRDefault="009454D5" w:rsidP="009454D5">
      <w:pPr>
        <w:pStyle w:val="LineTeal"/>
      </w:pPr>
    </w:p>
    <w:p w14:paraId="04B4DE7B" w14:textId="4F82EA56" w:rsidR="004F5616" w:rsidRDefault="004F5616" w:rsidP="00D6326D">
      <w:pPr>
        <w:pStyle w:val="Heading2"/>
        <w:tabs>
          <w:tab w:val="left" w:pos="567"/>
        </w:tabs>
      </w:pPr>
      <w:bookmarkStart w:id="27" w:name="_Toc107919614"/>
      <w:bookmarkStart w:id="28" w:name="_Toc103173678"/>
      <w:bookmarkStart w:id="29" w:name="_Toc104358639"/>
      <w:r>
        <w:t>1.1</w:t>
      </w:r>
      <w:r w:rsidR="00D6326D">
        <w:tab/>
      </w:r>
      <w:r>
        <w:t>The market study into the retail grocery sector in New Zealand</w:t>
      </w:r>
      <w:bookmarkEnd w:id="27"/>
    </w:p>
    <w:p w14:paraId="61B91A86" w14:textId="47FFAE7E" w:rsidR="00C81031" w:rsidRDefault="009454D5" w:rsidP="00A8527A">
      <w:pPr>
        <w:pStyle w:val="Numbered"/>
      </w:pPr>
      <w:r>
        <w:t xml:space="preserve">On 8 March 2022, the Commerce Commission (the </w:t>
      </w:r>
      <w:r w:rsidRPr="00C81031">
        <w:rPr>
          <w:b/>
          <w:bCs/>
        </w:rPr>
        <w:t>Commission</w:t>
      </w:r>
      <w:r>
        <w:t>) published its final report on the market study into the retail grocery sector in New Zealand.</w:t>
      </w:r>
      <w:r>
        <w:rPr>
          <w:rStyle w:val="FootnoteReference"/>
        </w:rPr>
        <w:footnoteReference w:id="2"/>
      </w:r>
      <w:r>
        <w:t xml:space="preserve"> It found that competition in the retail grocery sector was not working well for consumers and </w:t>
      </w:r>
      <w:r w:rsidRPr="00C81031">
        <w:rPr>
          <w:rFonts w:ascii="Calibri" w:hAnsi="Calibri" w:cs="Calibri"/>
          <w:color w:val="000000"/>
          <w:shd w:val="clear" w:color="auto" w:fill="FFFFFF"/>
        </w:rPr>
        <w:t>recommended changes to increase competition and help improve the price, quality and range of groceries and services available to New Zealanders.</w:t>
      </w:r>
      <w:r>
        <w:t xml:space="preserve"> </w:t>
      </w:r>
    </w:p>
    <w:p w14:paraId="787B86EE" w14:textId="6477BE20" w:rsidR="00500164" w:rsidRDefault="00500164" w:rsidP="00500164">
      <w:pPr>
        <w:pStyle w:val="Numbered"/>
      </w:pPr>
      <w:bookmarkStart w:id="30" w:name="_Ref105060903"/>
      <w:r>
        <w:t xml:space="preserve">One of the problems </w:t>
      </w:r>
      <w:r w:rsidRPr="00CC1340">
        <w:t>identif</w:t>
      </w:r>
      <w:r>
        <w:t>ied by the Commission is the negotiating power imbalance between the major grocery retailers and their suppliers.</w:t>
      </w:r>
      <w:r w:rsidRPr="00B66F3A">
        <w:rPr>
          <w:vertAlign w:val="superscript"/>
        </w:rPr>
        <w:footnoteReference w:id="3"/>
      </w:r>
      <w:r>
        <w:t xml:space="preserve"> This impacts </w:t>
      </w:r>
      <w:bookmarkStart w:id="31" w:name="_Hlk104917030"/>
      <w:r>
        <w:t>on suppliers’ ability and incentives to invest and innovate, including developing new products</w:t>
      </w:r>
      <w:bookmarkEnd w:id="31"/>
      <w:r>
        <w:t xml:space="preserve">. In turn, it impacts the conditions of entry and expansion into the retailer grocery market and ultimately the </w:t>
      </w:r>
      <w:r w:rsidR="00177FDF">
        <w:t xml:space="preserve">grocery offering to </w:t>
      </w:r>
      <w:r>
        <w:t>consumers.</w:t>
      </w:r>
      <w:bookmarkEnd w:id="30"/>
      <w:r>
        <w:t xml:space="preserve"> </w:t>
      </w:r>
    </w:p>
    <w:p w14:paraId="35F4524C" w14:textId="7BA218A9" w:rsidR="00500164" w:rsidRDefault="00500164" w:rsidP="00500164">
      <w:pPr>
        <w:pStyle w:val="Numbered"/>
      </w:pPr>
      <w:r>
        <w:t xml:space="preserve">The Commission made three </w:t>
      </w:r>
      <w:r w:rsidRPr="004F5616">
        <w:t>recommend</w:t>
      </w:r>
      <w:r w:rsidRPr="004F5616">
        <w:rPr>
          <w:rFonts w:ascii="Calibri" w:hAnsi="Calibri" w:cs="Calibri"/>
          <w:color w:val="000000"/>
        </w:rPr>
        <w:t>ation</w:t>
      </w:r>
      <w:r w:rsidRPr="004F5616">
        <w:t>s</w:t>
      </w:r>
      <w:r>
        <w:t xml:space="preserve"> </w:t>
      </w:r>
      <w:r w:rsidR="00177FDF">
        <w:t>aimed at</w:t>
      </w:r>
      <w:r>
        <w:t xml:space="preserve"> constrain</w:t>
      </w:r>
      <w:r w:rsidR="00177FDF">
        <w:t>ing</w:t>
      </w:r>
      <w:r>
        <w:t xml:space="preserve"> the major grocery retailers’ ability to use their strong </w:t>
      </w:r>
      <w:r w:rsidRPr="00FD78C0">
        <w:t xml:space="preserve">negotiating power </w:t>
      </w:r>
      <w:r>
        <w:t xml:space="preserve">to secure suppliers’ agreement to unfavourable supply terms and conditions. One was </w:t>
      </w:r>
      <w:r w:rsidR="00E4798D">
        <w:t>to introduce a mandatory grocery code of conduct</w:t>
      </w:r>
      <w:r w:rsidR="00E4798D" w:rsidRPr="00BE0C1E">
        <w:t xml:space="preserve"> </w:t>
      </w:r>
      <w:r w:rsidR="00E4798D" w:rsidRPr="00FE2366">
        <w:t>to govern relationships between the major grocery retailers and their suppliers</w:t>
      </w:r>
      <w:r w:rsidR="00E4798D" w:rsidRPr="006B2E62">
        <w:t>.</w:t>
      </w:r>
      <w:r w:rsidR="00E4798D">
        <w:t xml:space="preserve"> The other two were </w:t>
      </w:r>
      <w:r>
        <w:t xml:space="preserve">to consider ways to enable collective bargaining, </w:t>
      </w:r>
      <w:r w:rsidR="00177FDF">
        <w:t>and</w:t>
      </w:r>
      <w:r>
        <w:t xml:space="preserve"> to strengthen the business-to-business unfair contract terms regime</w:t>
      </w:r>
      <w:r w:rsidR="00E4798D">
        <w:t>.</w:t>
      </w:r>
      <w:r>
        <w:rPr>
          <w:rStyle w:val="FootnoteReference"/>
        </w:rPr>
        <w:footnoteReference w:id="4"/>
      </w:r>
      <w:r>
        <w:t xml:space="preserve"> </w:t>
      </w:r>
    </w:p>
    <w:p w14:paraId="7FE1E587" w14:textId="4B1637B2" w:rsidR="00C81031" w:rsidRPr="0099093E" w:rsidRDefault="00C81031" w:rsidP="0070031B">
      <w:pPr>
        <w:pStyle w:val="Numbered"/>
      </w:pPr>
      <w:r>
        <w:t>On 30 May 2022, the Government announced</w:t>
      </w:r>
      <w:r w:rsidR="00526596" w:rsidRPr="00526596">
        <w:t xml:space="preserve"> </w:t>
      </w:r>
      <w:r w:rsidR="00526596">
        <w:t>that it would establish a</w:t>
      </w:r>
      <w:r w:rsidR="00526596" w:rsidRPr="00526596">
        <w:t xml:space="preserve"> </w:t>
      </w:r>
      <w:r w:rsidR="00526596" w:rsidRPr="00FE2366">
        <w:t xml:space="preserve">mandatory </w:t>
      </w:r>
      <w:r w:rsidR="00526596">
        <w:t>grocery C</w:t>
      </w:r>
      <w:r w:rsidR="00526596" w:rsidRPr="00FE2366">
        <w:t xml:space="preserve">ode of </w:t>
      </w:r>
      <w:r w:rsidR="00526596">
        <w:t>C</w:t>
      </w:r>
      <w:r w:rsidR="00526596" w:rsidRPr="00FE2366">
        <w:t xml:space="preserve">onduct </w:t>
      </w:r>
      <w:r w:rsidR="00526596">
        <w:t xml:space="preserve">for New Zealand </w:t>
      </w:r>
      <w:r w:rsidR="00526596" w:rsidRPr="00FE2366">
        <w:t>(</w:t>
      </w:r>
      <w:r w:rsidR="00526596" w:rsidRPr="00BE0C1E">
        <w:rPr>
          <w:b/>
          <w:bCs/>
        </w:rPr>
        <w:t>Code</w:t>
      </w:r>
      <w:r w:rsidR="00526596" w:rsidRPr="00FE2366">
        <w:t>)</w:t>
      </w:r>
      <w:r w:rsidR="00526596">
        <w:t xml:space="preserve"> </w:t>
      </w:r>
      <w:r>
        <w:t>as part of its response to the market study</w:t>
      </w:r>
      <w:r w:rsidR="00E4798D">
        <w:t xml:space="preserve"> and noted it would soon consult publicly on the content of </w:t>
      </w:r>
      <w:r w:rsidR="00177FDF">
        <w:t>the Code</w:t>
      </w:r>
      <w:r w:rsidR="00526596">
        <w:t>.</w:t>
      </w:r>
      <w:r w:rsidR="00E4798D">
        <w:t xml:space="preserve"> </w:t>
      </w:r>
    </w:p>
    <w:p w14:paraId="0E28AE0B" w14:textId="32F22437" w:rsidR="004F5616" w:rsidRPr="00343F49" w:rsidRDefault="004F5616" w:rsidP="00D6326D">
      <w:pPr>
        <w:pStyle w:val="Heading2"/>
        <w:tabs>
          <w:tab w:val="left" w:pos="567"/>
        </w:tabs>
      </w:pPr>
      <w:bookmarkStart w:id="32" w:name="_Toc103173681"/>
      <w:bookmarkStart w:id="33" w:name="_Toc104358641"/>
      <w:bookmarkStart w:id="34" w:name="_Toc107919615"/>
      <w:bookmarkStart w:id="35" w:name="_Toc103173679"/>
      <w:r>
        <w:t>1.2</w:t>
      </w:r>
      <w:r w:rsidR="00D6326D">
        <w:tab/>
      </w:r>
      <w:r w:rsidRPr="00343F49">
        <w:t xml:space="preserve">What a Code of Conduct </w:t>
      </w:r>
      <w:r w:rsidR="00273E25">
        <w:t>could</w:t>
      </w:r>
      <w:r w:rsidRPr="00343F49">
        <w:t xml:space="preserve"> do</w:t>
      </w:r>
      <w:bookmarkEnd w:id="32"/>
      <w:bookmarkEnd w:id="33"/>
      <w:bookmarkEnd w:id="34"/>
    </w:p>
    <w:p w14:paraId="3B418BDD" w14:textId="75FDBCFE" w:rsidR="00791881" w:rsidRDefault="00177FDF" w:rsidP="00CD3167">
      <w:pPr>
        <w:pStyle w:val="Numbered"/>
      </w:pPr>
      <w:r>
        <w:t>A</w:t>
      </w:r>
      <w:r w:rsidR="00791881">
        <w:t xml:space="preserve"> Code should improve the conditions for suppliers </w:t>
      </w:r>
      <w:r w:rsidR="00791881" w:rsidRPr="003745E3">
        <w:t>to invest</w:t>
      </w:r>
      <w:r w:rsidR="00791881">
        <w:t xml:space="preserve"> </w:t>
      </w:r>
      <w:r w:rsidR="00791881" w:rsidRPr="003745E3">
        <w:t>and innovate</w:t>
      </w:r>
      <w:r w:rsidR="00791881">
        <w:t xml:space="preserve"> to bring new products to market and produce existing products more efficiently. This will generate long-term benefits for consumers in the form of the prices, quality, and range of products available. </w:t>
      </w:r>
    </w:p>
    <w:p w14:paraId="5328C709" w14:textId="7325D4E4" w:rsidR="00500164" w:rsidRDefault="00500164" w:rsidP="00500164">
      <w:pPr>
        <w:pStyle w:val="Numbered"/>
      </w:pPr>
      <w:bookmarkStart w:id="36" w:name="_Ref105145606"/>
      <w:r>
        <w:t>A Code will not, however, address the underlying causes of the major grocery retailers’ advantage in negotiating power</w:t>
      </w:r>
      <w:r w:rsidR="00C81F4E">
        <w:t xml:space="preserve">. The imbalance </w:t>
      </w:r>
      <w:r>
        <w:t>is due to</w:t>
      </w:r>
      <w:r w:rsidR="00ED5084">
        <w:t xml:space="preserve"> the major grocery retailers</w:t>
      </w:r>
      <w:r>
        <w:t>:</w:t>
      </w:r>
      <w:bookmarkEnd w:id="36"/>
    </w:p>
    <w:p w14:paraId="5E688B4B" w14:textId="29D6869A" w:rsidR="00500164" w:rsidRDefault="00500164" w:rsidP="00500164">
      <w:pPr>
        <w:pStyle w:val="Numbered"/>
        <w:numPr>
          <w:ilvl w:val="1"/>
          <w:numId w:val="1"/>
        </w:numPr>
      </w:pPr>
      <w:r>
        <w:lastRenderedPageBreak/>
        <w:t>relatively high levels of market share</w:t>
      </w:r>
      <w:r>
        <w:rPr>
          <w:rStyle w:val="FootnoteReference"/>
        </w:rPr>
        <w:footnoteReference w:id="5"/>
      </w:r>
      <w:r>
        <w:t xml:space="preserve"> which means they provide a major sales channel for many grocery suppliers. Aside from export markets, most suppliers have few alternative buyers of their products at the scale of the major grocery retailers. </w:t>
      </w:r>
    </w:p>
    <w:p w14:paraId="6BB4B314" w14:textId="1E167E62" w:rsidR="00500164" w:rsidRDefault="00500164" w:rsidP="00500164">
      <w:pPr>
        <w:pStyle w:val="Numbered"/>
        <w:numPr>
          <w:ilvl w:val="1"/>
          <w:numId w:val="1"/>
        </w:numPr>
      </w:pPr>
      <w:r>
        <w:t>ability to change supplier for a particular product, generally with little overall impact on business</w:t>
      </w:r>
      <w:r w:rsidR="00177FDF">
        <w:t>. T</w:t>
      </w:r>
      <w:r>
        <w:t>he major grocery retailers each have a large number of suppliers</w:t>
      </w:r>
      <w:r w:rsidR="00177FDF">
        <w:t xml:space="preserve"> and often have multiple suppliers in one product category.</w:t>
      </w:r>
    </w:p>
    <w:p w14:paraId="0E47099E" w14:textId="57B20E0B" w:rsidR="00500164" w:rsidRDefault="00561DFD" w:rsidP="00500164">
      <w:pPr>
        <w:pStyle w:val="Numbered"/>
        <w:numPr>
          <w:ilvl w:val="1"/>
          <w:numId w:val="1"/>
        </w:numPr>
      </w:pPr>
      <w:r>
        <w:t xml:space="preserve">high bargaining power, compared to </w:t>
      </w:r>
      <w:r w:rsidR="00273E25">
        <w:t xml:space="preserve">most of their </w:t>
      </w:r>
      <w:r w:rsidR="00500164">
        <w:t>suppliers</w:t>
      </w:r>
      <w:r w:rsidR="00273E25">
        <w:t>. Only a few suppliers</w:t>
      </w:r>
      <w:r w:rsidR="00500164">
        <w:t xml:space="preserve"> hav</w:t>
      </w:r>
      <w:r w:rsidR="00273E25">
        <w:t>e much</w:t>
      </w:r>
      <w:r w:rsidR="00500164">
        <w:t xml:space="preserve"> bargaining power which arises from high brand recognition, few substitute products and less reliance on domestic retail grocery sales channels. </w:t>
      </w:r>
    </w:p>
    <w:p w14:paraId="5648B5E8" w14:textId="68174451" w:rsidR="00500164" w:rsidRDefault="00177FDF" w:rsidP="00500164">
      <w:pPr>
        <w:pStyle w:val="Numbered"/>
      </w:pPr>
      <w:bookmarkStart w:id="37" w:name="_Ref105059746"/>
      <w:r>
        <w:t xml:space="preserve">Constraining </w:t>
      </w:r>
      <w:r w:rsidR="00500164">
        <w:t>the negotiating positions of the major grocery retailers should reduce the likelihood that suppliers will be pressured to accept unfavourable supply terms and conditions – involving:</w:t>
      </w:r>
      <w:bookmarkEnd w:id="37"/>
    </w:p>
    <w:p w14:paraId="3E77785F" w14:textId="77777777" w:rsidR="00500164" w:rsidRPr="00421E7D" w:rsidRDefault="00500164" w:rsidP="00500164">
      <w:pPr>
        <w:pStyle w:val="Numbered"/>
        <w:numPr>
          <w:ilvl w:val="1"/>
          <w:numId w:val="1"/>
        </w:numPr>
      </w:pPr>
      <w:r>
        <w:t xml:space="preserve">accepting </w:t>
      </w:r>
      <w:r w:rsidRPr="00421E7D">
        <w:t xml:space="preserve">costs and risks </w:t>
      </w:r>
      <w:r>
        <w:t xml:space="preserve">that major grocery </w:t>
      </w:r>
      <w:r w:rsidRPr="00421E7D">
        <w:t xml:space="preserve">retailers </w:t>
      </w:r>
      <w:r>
        <w:t xml:space="preserve">were </w:t>
      </w:r>
      <w:r w:rsidRPr="00421E7D">
        <w:t xml:space="preserve">better placed to manage. This may reduce efficiency, resulting in higher costs </w:t>
      </w:r>
      <w:r>
        <w:t>of production</w:t>
      </w:r>
      <w:r w:rsidRPr="00421E7D">
        <w:t xml:space="preserve">. </w:t>
      </w:r>
    </w:p>
    <w:p w14:paraId="0851AE5B" w14:textId="636D0EA8" w:rsidR="00500164" w:rsidRPr="00271EF2" w:rsidRDefault="00500164" w:rsidP="00500164">
      <w:pPr>
        <w:pStyle w:val="Numbered"/>
        <w:numPr>
          <w:ilvl w:val="1"/>
          <w:numId w:val="1"/>
        </w:numPr>
      </w:pPr>
      <w:r>
        <w:t>r</w:t>
      </w:r>
      <w:r w:rsidRPr="00421E7D">
        <w:t xml:space="preserve">educed transparency and certainty </w:t>
      </w:r>
      <w:r>
        <w:t>regarding</w:t>
      </w:r>
      <w:r w:rsidRPr="00421E7D">
        <w:t xml:space="preserve"> terms </w:t>
      </w:r>
      <w:r>
        <w:t xml:space="preserve">and conditions </w:t>
      </w:r>
      <w:r w:rsidRPr="00421E7D">
        <w:t>of supply. This harms suppliers’ ability to innovate and invest</w:t>
      </w:r>
      <w:r>
        <w:t xml:space="preserve"> in new and better grocery products</w:t>
      </w:r>
      <w:r w:rsidR="00177FDF">
        <w:t>.</w:t>
      </w:r>
    </w:p>
    <w:p w14:paraId="409A845E" w14:textId="268CFE02" w:rsidR="00500164" w:rsidRPr="00421E7D" w:rsidRDefault="00500164" w:rsidP="00500164">
      <w:pPr>
        <w:pStyle w:val="Numbered"/>
        <w:numPr>
          <w:ilvl w:val="1"/>
          <w:numId w:val="1"/>
        </w:numPr>
      </w:pPr>
      <w:r>
        <w:t>l</w:t>
      </w:r>
      <w:r w:rsidRPr="00421E7D">
        <w:t>imit</w:t>
      </w:r>
      <w:r>
        <w:t>s</w:t>
      </w:r>
      <w:r w:rsidRPr="00421E7D">
        <w:t xml:space="preserve"> </w:t>
      </w:r>
      <w:r>
        <w:t xml:space="preserve">on their </w:t>
      </w:r>
      <w:r w:rsidRPr="00421E7D">
        <w:t>ability</w:t>
      </w:r>
      <w:r>
        <w:t xml:space="preserve"> </w:t>
      </w:r>
      <w:r w:rsidRPr="00421E7D">
        <w:t xml:space="preserve">to provide competitive supply terms to other </w:t>
      </w:r>
      <w:r>
        <w:t xml:space="preserve">grocery </w:t>
      </w:r>
      <w:r w:rsidRPr="00421E7D">
        <w:t xml:space="preserve">retailers. This may make it harder for other </w:t>
      </w:r>
      <w:r>
        <w:t xml:space="preserve">grocery </w:t>
      </w:r>
      <w:r w:rsidRPr="00421E7D">
        <w:t xml:space="preserve">retailers to enter or expand </w:t>
      </w:r>
      <w:r>
        <w:t>in the grocery market (</w:t>
      </w:r>
      <w:r w:rsidR="00177FDF">
        <w:t>a</w:t>
      </w:r>
      <w:r>
        <w:t>lthough best price clauses and exclusive supply arrangements are uncommon).</w:t>
      </w:r>
      <w:r w:rsidRPr="00421E7D">
        <w:rPr>
          <w:vertAlign w:val="superscript"/>
        </w:rPr>
        <w:footnoteReference w:id="6"/>
      </w:r>
    </w:p>
    <w:p w14:paraId="45EC5A30" w14:textId="2F93ECBE" w:rsidR="00526596" w:rsidRDefault="00791881" w:rsidP="00837388">
      <w:pPr>
        <w:pStyle w:val="Numbered"/>
      </w:pPr>
      <w:bookmarkStart w:id="38" w:name="_Ref105152514"/>
      <w:r>
        <w:t>T</w:t>
      </w:r>
      <w:r w:rsidR="00526596">
        <w:t xml:space="preserve">here is a risk that the Code could limit the ability of the major grocery </w:t>
      </w:r>
      <w:r w:rsidR="00526596" w:rsidRPr="003745E3">
        <w:t xml:space="preserve">retailers to negotiate fairly and firmly </w:t>
      </w:r>
      <w:r w:rsidR="00526596">
        <w:t xml:space="preserve">with suppliers. This could contribute to higher costs for the major grocery retailers, which would make it harder for them to provide consumers with the range of products at competitive prices. </w:t>
      </w:r>
      <w:bookmarkEnd w:id="38"/>
    </w:p>
    <w:p w14:paraId="75B4864A" w14:textId="749CEEA3" w:rsidR="00052D51" w:rsidRDefault="00791881" w:rsidP="00052D51">
      <w:pPr>
        <w:pStyle w:val="Numbered"/>
      </w:pPr>
      <w:r>
        <w:t xml:space="preserve">The likelihood of this risk occurring depends on the design of the Code and the impact of </w:t>
      </w:r>
      <w:r w:rsidR="00177FDF">
        <w:t xml:space="preserve">the Government’s response </w:t>
      </w:r>
      <w:r w:rsidR="00C32E4B">
        <w:t xml:space="preserve">to the market study </w:t>
      </w:r>
      <w:r>
        <w:t>over time</w:t>
      </w:r>
      <w:r w:rsidR="00052D51">
        <w:t>. However, t</w:t>
      </w:r>
      <w:r w:rsidR="004B5574">
        <w:t>he Commission thought the downside to broad protections in the Code is likely to be relatively limited</w:t>
      </w:r>
      <w:r w:rsidR="00052D51">
        <w:t>,</w:t>
      </w:r>
      <w:r w:rsidR="004B5574">
        <w:t xml:space="preserve"> </w:t>
      </w:r>
      <w:r w:rsidR="00052D51">
        <w:t xml:space="preserve">and </w:t>
      </w:r>
      <w:r w:rsidR="004B5574">
        <w:t xml:space="preserve">any </w:t>
      </w:r>
      <w:r w:rsidR="00526596">
        <w:t>risk</w:t>
      </w:r>
      <w:r w:rsidR="00052D51">
        <w:t>s</w:t>
      </w:r>
      <w:r w:rsidR="00526596">
        <w:t xml:space="preserve"> </w:t>
      </w:r>
      <w:r>
        <w:t xml:space="preserve">can </w:t>
      </w:r>
      <w:r w:rsidR="00052D51">
        <w:t xml:space="preserve">likely </w:t>
      </w:r>
      <w:r>
        <w:t>be managed</w:t>
      </w:r>
      <w:r w:rsidR="00526596">
        <w:t xml:space="preserve"> by focusing a Code on procedural matters – how the businesses in the market for the acquisition of grocery products ‘behave’ – </w:t>
      </w:r>
      <w:r w:rsidR="00052D51">
        <w:t>rather than substantial matters.</w:t>
      </w:r>
      <w:r w:rsidR="00C32E4B" w:rsidRPr="00C32E4B">
        <w:rPr>
          <w:rStyle w:val="FootnoteReference"/>
        </w:rPr>
        <w:t xml:space="preserve"> </w:t>
      </w:r>
      <w:r w:rsidR="00C32E4B">
        <w:rPr>
          <w:rStyle w:val="FootnoteReference"/>
        </w:rPr>
        <w:footnoteReference w:id="7"/>
      </w:r>
    </w:p>
    <w:p w14:paraId="6F75B4E5" w14:textId="6BC1D205" w:rsidR="009454D5" w:rsidRDefault="00052D51" w:rsidP="00052D51">
      <w:pPr>
        <w:pStyle w:val="Numbered"/>
      </w:pPr>
      <w:r>
        <w:t xml:space="preserve">Finally, a Code may </w:t>
      </w:r>
      <w:bookmarkStart w:id="39" w:name="_Ref105152517"/>
      <w:bookmarkStart w:id="40" w:name="_Toc103173670"/>
      <w:bookmarkStart w:id="41" w:name="_Toc104358630"/>
      <w:bookmarkEnd w:id="28"/>
      <w:bookmarkEnd w:id="29"/>
      <w:bookmarkEnd w:id="35"/>
      <w:r>
        <w:t xml:space="preserve">be able to </w:t>
      </w:r>
      <w:r w:rsidR="00C32E4B">
        <w:t xml:space="preserve">contribute to other aspects of the Government response and could reduce any barriers to </w:t>
      </w:r>
      <w:r>
        <w:t xml:space="preserve">suppliers dealing with other grocery retailers </w:t>
      </w:r>
      <w:r w:rsidR="00C32E4B">
        <w:t xml:space="preserve">or </w:t>
      </w:r>
      <w:r w:rsidR="004579DB">
        <w:t xml:space="preserve">ensure there are not barriers to suppliers having their products included in </w:t>
      </w:r>
      <w:r w:rsidR="00C32E4B">
        <w:t xml:space="preserve">any </w:t>
      </w:r>
      <w:r w:rsidR="004579DB">
        <w:t xml:space="preserve">wholesale supply </w:t>
      </w:r>
      <w:r w:rsidR="00C32E4B">
        <w:t>offering</w:t>
      </w:r>
      <w:r>
        <w:t>.</w:t>
      </w:r>
      <w:r w:rsidR="009454D5">
        <w:br w:type="page"/>
      </w:r>
      <w:bookmarkEnd w:id="39"/>
    </w:p>
    <w:p w14:paraId="534C200B" w14:textId="648054C2" w:rsidR="00E803F5" w:rsidRDefault="00791881" w:rsidP="00E803F5">
      <w:pPr>
        <w:pStyle w:val="Heading1"/>
      </w:pPr>
      <w:bookmarkStart w:id="42" w:name="_Toc107919616"/>
      <w:bookmarkStart w:id="43" w:name="_Hlk107578262"/>
      <w:bookmarkEnd w:id="40"/>
      <w:bookmarkEnd w:id="41"/>
      <w:r>
        <w:lastRenderedPageBreak/>
        <w:t>The approach to developing a Code of Conduct</w:t>
      </w:r>
      <w:bookmarkEnd w:id="42"/>
    </w:p>
    <w:bookmarkEnd w:id="43"/>
    <w:p w14:paraId="2A762262" w14:textId="77777777" w:rsidR="00E803F5" w:rsidRDefault="00E803F5" w:rsidP="00E803F5">
      <w:pPr>
        <w:pStyle w:val="LineTeal"/>
      </w:pPr>
    </w:p>
    <w:p w14:paraId="1111E205" w14:textId="2FAABA3C" w:rsidR="00E803F5" w:rsidRDefault="00791881" w:rsidP="00D6326D">
      <w:pPr>
        <w:pStyle w:val="Heading2"/>
        <w:tabs>
          <w:tab w:val="left" w:pos="567"/>
        </w:tabs>
      </w:pPr>
      <w:bookmarkStart w:id="44" w:name="_Toc103173671"/>
      <w:bookmarkStart w:id="45" w:name="_Toc104358631"/>
      <w:bookmarkStart w:id="46" w:name="_Toc107919617"/>
      <w:r>
        <w:t>2</w:t>
      </w:r>
      <w:r w:rsidR="00385845">
        <w:t>.1</w:t>
      </w:r>
      <w:r w:rsidR="00D6326D">
        <w:tab/>
      </w:r>
      <w:r w:rsidR="004E4FBF">
        <w:t>What</w:t>
      </w:r>
      <w:r w:rsidR="00E803F5">
        <w:t xml:space="preserve"> </w:t>
      </w:r>
      <w:r>
        <w:t xml:space="preserve">is in </w:t>
      </w:r>
      <w:r w:rsidR="00E803F5">
        <w:t xml:space="preserve">this </w:t>
      </w:r>
      <w:r w:rsidR="00FE2366">
        <w:t>consultation</w:t>
      </w:r>
      <w:r w:rsidR="00E803F5">
        <w:t xml:space="preserve"> paper</w:t>
      </w:r>
      <w:bookmarkEnd w:id="44"/>
      <w:bookmarkEnd w:id="45"/>
      <w:bookmarkEnd w:id="46"/>
      <w:r w:rsidR="004E4FBF">
        <w:t xml:space="preserve"> </w:t>
      </w:r>
    </w:p>
    <w:p w14:paraId="1D26F6DB" w14:textId="7E9475F1" w:rsidR="00844FC3" w:rsidRDefault="00D6425C" w:rsidP="005F717A">
      <w:pPr>
        <w:pStyle w:val="Numbered"/>
      </w:pPr>
      <w:r w:rsidRPr="00FE2366">
        <w:t xml:space="preserve">This </w:t>
      </w:r>
      <w:r w:rsidR="00FE2366">
        <w:t>consultation</w:t>
      </w:r>
      <w:r w:rsidRPr="00FE2366">
        <w:t xml:space="preserve"> paper seeks feedback on </w:t>
      </w:r>
      <w:r w:rsidR="00844FC3">
        <w:t xml:space="preserve">the </w:t>
      </w:r>
      <w:r w:rsidR="004B5574">
        <w:t>options for</w:t>
      </w:r>
      <w:r w:rsidR="00FE7563">
        <w:t xml:space="preserve"> </w:t>
      </w:r>
      <w:r w:rsidR="00844FC3">
        <w:t>content of</w:t>
      </w:r>
      <w:r w:rsidRPr="00FE2366">
        <w:t xml:space="preserve"> </w:t>
      </w:r>
      <w:r w:rsidR="00FE2366" w:rsidRPr="00FE2366">
        <w:t xml:space="preserve">a </w:t>
      </w:r>
      <w:r w:rsidR="00FE2366" w:rsidRPr="007E10A5">
        <w:t>Code</w:t>
      </w:r>
      <w:r w:rsidR="00FE2366" w:rsidRPr="00FE2366">
        <w:t xml:space="preserve">. </w:t>
      </w:r>
      <w:r w:rsidR="004F35CC">
        <w:t>Th</w:t>
      </w:r>
      <w:r w:rsidR="002B5DAA">
        <w:t>e</w:t>
      </w:r>
      <w:r w:rsidR="004F35CC">
        <w:t xml:space="preserve"> paper provides a preliminary analysis of different options, including an assessment of each option against relevant criteria. The criteria, which are discussed below, will be used to </w:t>
      </w:r>
      <w:r w:rsidR="005E4194">
        <w:t>identify</w:t>
      </w:r>
      <w:r w:rsidR="004F35CC">
        <w:t xml:space="preserve"> the preferred options that are most likely to achieve </w:t>
      </w:r>
      <w:r w:rsidR="002B2E06">
        <w:t xml:space="preserve">the </w:t>
      </w:r>
      <w:r w:rsidR="004F35CC">
        <w:t xml:space="preserve">desired </w:t>
      </w:r>
      <w:r w:rsidR="00C32E4B">
        <w:t>objective</w:t>
      </w:r>
      <w:r w:rsidR="004F35CC">
        <w:t xml:space="preserve">. Feedback from submitters will </w:t>
      </w:r>
      <w:r w:rsidR="005E4194">
        <w:t>help</w:t>
      </w:r>
      <w:r w:rsidR="004F35CC">
        <w:t xml:space="preserve"> </w:t>
      </w:r>
      <w:r w:rsidR="004F35CC" w:rsidRPr="00325D2B">
        <w:t>MBIE</w:t>
      </w:r>
      <w:r w:rsidR="004F35CC">
        <w:t xml:space="preserve"> to improve and finalise th</w:t>
      </w:r>
      <w:r w:rsidR="002B5DAA">
        <w:t>e</w:t>
      </w:r>
      <w:r w:rsidR="004F35CC">
        <w:t xml:space="preserve"> </w:t>
      </w:r>
      <w:r w:rsidR="005E4194">
        <w:t xml:space="preserve">preliminary </w:t>
      </w:r>
      <w:r w:rsidR="004F35CC">
        <w:t>analysis</w:t>
      </w:r>
      <w:r w:rsidR="002B5DAA">
        <w:t xml:space="preserve"> in this paper</w:t>
      </w:r>
      <w:r w:rsidR="004F35CC">
        <w:t xml:space="preserve">. </w:t>
      </w:r>
      <w:r w:rsidR="002B5DAA">
        <w:t>The</w:t>
      </w:r>
      <w:r w:rsidR="004F35CC">
        <w:t xml:space="preserve"> </w:t>
      </w:r>
      <w:r>
        <w:t xml:space="preserve">paper functions as an interim Regulatory Impact Analysis by weighing up the </w:t>
      </w:r>
      <w:r w:rsidR="008B3D89">
        <w:t xml:space="preserve">different </w:t>
      </w:r>
      <w:r>
        <w:t xml:space="preserve">policy </w:t>
      </w:r>
      <w:r w:rsidR="002B5DAA">
        <w:t>options.</w:t>
      </w:r>
    </w:p>
    <w:p w14:paraId="374F2B0F" w14:textId="2D087D13" w:rsidR="002A5343" w:rsidRPr="000B7798" w:rsidRDefault="002A5343" w:rsidP="000B7798">
      <w:pPr>
        <w:rPr>
          <w:b/>
          <w:bCs/>
        </w:rPr>
      </w:pPr>
      <w:bookmarkStart w:id="47" w:name="_Toc100311847"/>
      <w:bookmarkStart w:id="48" w:name="_Toc103173672"/>
      <w:bookmarkStart w:id="49" w:name="_Toc104358632"/>
      <w:r w:rsidRPr="000B7798">
        <w:rPr>
          <w:b/>
          <w:bCs/>
        </w:rPr>
        <w:t xml:space="preserve">The structure of </w:t>
      </w:r>
      <w:r>
        <w:rPr>
          <w:b/>
          <w:bCs/>
        </w:rPr>
        <w:t>the</w:t>
      </w:r>
      <w:r w:rsidRPr="000B7798">
        <w:rPr>
          <w:b/>
          <w:bCs/>
        </w:rPr>
        <w:t xml:space="preserve"> paper </w:t>
      </w:r>
    </w:p>
    <w:p w14:paraId="03867BD9" w14:textId="1014E6F1" w:rsidR="002A5343" w:rsidRPr="00A03378" w:rsidRDefault="002A5343" w:rsidP="002A5343">
      <w:pPr>
        <w:pStyle w:val="Numbered"/>
      </w:pPr>
      <w:r>
        <w:t xml:space="preserve">This paper follows the possible structure for the contents of a Code, to provide readers – particularly industry participants – with insight into what a Code might look like. The </w:t>
      </w:r>
      <w:r w:rsidR="00C32E4B">
        <w:t>content is as follows:</w:t>
      </w:r>
    </w:p>
    <w:p w14:paraId="01B784D6" w14:textId="77777777" w:rsidR="002A5343" w:rsidRDefault="002A5343" w:rsidP="005069AD">
      <w:pPr>
        <w:pStyle w:val="Numbered"/>
        <w:numPr>
          <w:ilvl w:val="1"/>
          <w:numId w:val="1"/>
        </w:numPr>
      </w:pPr>
      <w:r>
        <w:t>Which grocery retailers should be bound by the Code (</w:t>
      </w:r>
      <w:r w:rsidRPr="00385845">
        <w:rPr>
          <w:b/>
          <w:bCs/>
        </w:rPr>
        <w:t xml:space="preserve">Chapter </w:t>
      </w:r>
      <w:r>
        <w:rPr>
          <w:b/>
          <w:bCs/>
        </w:rPr>
        <w:t>3</w:t>
      </w:r>
      <w:r>
        <w:t>).</w:t>
      </w:r>
    </w:p>
    <w:p w14:paraId="786FA5A9" w14:textId="2DBDE3E4" w:rsidR="002A5343" w:rsidRDefault="00C32E4B" w:rsidP="005069AD">
      <w:pPr>
        <w:pStyle w:val="Numbered"/>
        <w:numPr>
          <w:ilvl w:val="1"/>
          <w:numId w:val="1"/>
        </w:numPr>
      </w:pPr>
      <w:r>
        <w:t xml:space="preserve">Including a purpose statement within </w:t>
      </w:r>
      <w:r w:rsidR="002A5343">
        <w:t>the Code and the overarching obligations of good faith or fair dealing (</w:t>
      </w:r>
      <w:r w:rsidR="002A5343" w:rsidRPr="00385845">
        <w:rPr>
          <w:b/>
          <w:bCs/>
        </w:rPr>
        <w:t xml:space="preserve">Chapter </w:t>
      </w:r>
      <w:r w:rsidR="002A5343">
        <w:rPr>
          <w:b/>
          <w:bCs/>
        </w:rPr>
        <w:t>4</w:t>
      </w:r>
      <w:r w:rsidR="002A5343">
        <w:t>).</w:t>
      </w:r>
    </w:p>
    <w:p w14:paraId="6E332CC5" w14:textId="77777777" w:rsidR="002A5343" w:rsidRDefault="002A5343" w:rsidP="005069AD">
      <w:pPr>
        <w:pStyle w:val="Numbered"/>
        <w:numPr>
          <w:ilvl w:val="1"/>
          <w:numId w:val="1"/>
        </w:numPr>
      </w:pPr>
      <w:r>
        <w:t>Requirements for grocery supply agreements (</w:t>
      </w:r>
      <w:r w:rsidRPr="00385845">
        <w:rPr>
          <w:b/>
          <w:bCs/>
        </w:rPr>
        <w:t>Chapter 5</w:t>
      </w:r>
      <w:r>
        <w:t>).</w:t>
      </w:r>
    </w:p>
    <w:p w14:paraId="3C497362" w14:textId="6C274088" w:rsidR="002A5343" w:rsidRDefault="002A5343" w:rsidP="005069AD">
      <w:pPr>
        <w:pStyle w:val="Numbered"/>
        <w:numPr>
          <w:ilvl w:val="1"/>
          <w:numId w:val="1"/>
        </w:numPr>
      </w:pPr>
      <w:r>
        <w:t xml:space="preserve">Obligations regarding the conduct of </w:t>
      </w:r>
      <w:r w:rsidR="00C32E4B">
        <w:t xml:space="preserve">designated </w:t>
      </w:r>
      <w:r>
        <w:t>grocery retailers in relation to product supply and placement, payment terms and promotions (</w:t>
      </w:r>
      <w:r w:rsidRPr="00385845">
        <w:rPr>
          <w:b/>
          <w:bCs/>
        </w:rPr>
        <w:t xml:space="preserve">Chapters 6 </w:t>
      </w:r>
      <w:r>
        <w:rPr>
          <w:b/>
          <w:bCs/>
        </w:rPr>
        <w:t>and</w:t>
      </w:r>
      <w:r w:rsidRPr="00385845">
        <w:rPr>
          <w:b/>
          <w:bCs/>
        </w:rPr>
        <w:t xml:space="preserve"> 7</w:t>
      </w:r>
      <w:r>
        <w:t>).</w:t>
      </w:r>
    </w:p>
    <w:p w14:paraId="68DC4D24" w14:textId="77777777" w:rsidR="002A5343" w:rsidRDefault="002A5343" w:rsidP="005069AD">
      <w:pPr>
        <w:pStyle w:val="Numbered"/>
        <w:numPr>
          <w:ilvl w:val="1"/>
          <w:numId w:val="1"/>
        </w:numPr>
      </w:pPr>
      <w:r>
        <w:t>Dispute resolution (</w:t>
      </w:r>
      <w:r w:rsidRPr="00385845">
        <w:rPr>
          <w:b/>
          <w:bCs/>
        </w:rPr>
        <w:t>Chapter 8</w:t>
      </w:r>
      <w:r>
        <w:t>).</w:t>
      </w:r>
    </w:p>
    <w:p w14:paraId="66885669" w14:textId="77777777" w:rsidR="002A5343" w:rsidRDefault="002A5343" w:rsidP="005069AD">
      <w:pPr>
        <w:pStyle w:val="Numbered"/>
        <w:numPr>
          <w:ilvl w:val="1"/>
          <w:numId w:val="1"/>
        </w:numPr>
      </w:pPr>
      <w:r>
        <w:t>Monitoring, compliance and enforcement matters (</w:t>
      </w:r>
      <w:r w:rsidRPr="00385845">
        <w:rPr>
          <w:b/>
          <w:bCs/>
        </w:rPr>
        <w:t>Chapter 9</w:t>
      </w:r>
      <w:r>
        <w:t>).</w:t>
      </w:r>
    </w:p>
    <w:p w14:paraId="72B84700" w14:textId="1ED7BBAF" w:rsidR="008A39A0" w:rsidRPr="001B1261" w:rsidRDefault="008A39A0" w:rsidP="008A39A0">
      <w:pPr>
        <w:pStyle w:val="Numbered"/>
        <w:numPr>
          <w:ilvl w:val="0"/>
          <w:numId w:val="0"/>
        </w:numPr>
        <w:rPr>
          <w:b/>
          <w:bCs/>
        </w:rPr>
      </w:pPr>
      <w:r>
        <w:rPr>
          <w:b/>
          <w:bCs/>
        </w:rPr>
        <w:t>The timing of consultation</w:t>
      </w:r>
    </w:p>
    <w:p w14:paraId="03190D92" w14:textId="33595ACA" w:rsidR="008A39A0" w:rsidRPr="00C86CA7" w:rsidRDefault="008A39A0" w:rsidP="008A39A0">
      <w:pPr>
        <w:pStyle w:val="Numbered"/>
      </w:pPr>
      <w:r w:rsidRPr="00C86CA7">
        <w:t xml:space="preserve">Consultation is open from </w:t>
      </w:r>
      <w:r w:rsidR="009A40C1" w:rsidRPr="00C86CA7">
        <w:t>6 July 2022</w:t>
      </w:r>
      <w:r w:rsidRPr="00C86CA7">
        <w:t xml:space="preserve"> until </w:t>
      </w:r>
      <w:r w:rsidR="009A40C1" w:rsidRPr="00C86CA7">
        <w:t>10 August 2022</w:t>
      </w:r>
      <w:r w:rsidRPr="00C86CA7">
        <w:t>. We welcome any submissions, comments, or questions that you may have on any issue raised in the paper.</w:t>
      </w:r>
    </w:p>
    <w:p w14:paraId="732A4FE9" w14:textId="2D677F9B" w:rsidR="008A39A0" w:rsidRPr="00AF3F4F" w:rsidRDefault="008A39A0" w:rsidP="008A39A0">
      <w:pPr>
        <w:pStyle w:val="Numbered"/>
      </w:pPr>
      <w:r>
        <w:t xml:space="preserve">After submissions on the consultation paper have closed, MBIE will undertake further analysis to inform </w:t>
      </w:r>
      <w:r w:rsidR="002B2E06">
        <w:t xml:space="preserve">the </w:t>
      </w:r>
      <w:r>
        <w:t xml:space="preserve">policy decisions </w:t>
      </w:r>
      <w:r w:rsidR="002B2E06">
        <w:t xml:space="preserve">considered </w:t>
      </w:r>
      <w:r>
        <w:t xml:space="preserve">by Cabinet. These decisions are expected in around </w:t>
      </w:r>
      <w:r w:rsidR="009A40C1" w:rsidRPr="00AF3F4F">
        <w:t>October</w:t>
      </w:r>
      <w:r w:rsidRPr="00AF3F4F">
        <w:t>.</w:t>
      </w:r>
    </w:p>
    <w:p w14:paraId="24151A63" w14:textId="6DE0C972" w:rsidR="00D6425C" w:rsidRDefault="00791881" w:rsidP="00D6326D">
      <w:pPr>
        <w:pStyle w:val="Heading2"/>
        <w:tabs>
          <w:tab w:val="left" w:pos="567"/>
        </w:tabs>
      </w:pPr>
      <w:bookmarkStart w:id="50" w:name="_Toc107919618"/>
      <w:r>
        <w:t>2</w:t>
      </w:r>
      <w:r w:rsidR="00385845">
        <w:t>.2</w:t>
      </w:r>
      <w:r w:rsidR="00D6326D">
        <w:tab/>
      </w:r>
      <w:r w:rsidR="00D6425C">
        <w:t xml:space="preserve">What </w:t>
      </w:r>
      <w:r>
        <w:t xml:space="preserve">is the </w:t>
      </w:r>
      <w:r w:rsidR="004F35CC">
        <w:t>objective</w:t>
      </w:r>
      <w:r w:rsidR="00D6425C">
        <w:t xml:space="preserve"> </w:t>
      </w:r>
      <w:r>
        <w:t xml:space="preserve">of the </w:t>
      </w:r>
      <w:r w:rsidR="00286068">
        <w:t>Code of Conduct</w:t>
      </w:r>
      <w:r w:rsidR="00D6425C">
        <w:t>?</w:t>
      </w:r>
      <w:bookmarkEnd w:id="47"/>
      <w:bookmarkEnd w:id="48"/>
      <w:bookmarkEnd w:id="49"/>
      <w:bookmarkEnd w:id="50"/>
    </w:p>
    <w:p w14:paraId="5CFAFE11" w14:textId="099D2B7B" w:rsidR="00A35C86" w:rsidRDefault="00312534" w:rsidP="00351F95">
      <w:pPr>
        <w:pStyle w:val="Numbered"/>
      </w:pPr>
      <w:bookmarkStart w:id="51" w:name="_Ref105253196"/>
      <w:r>
        <w:t xml:space="preserve">The objective of </w:t>
      </w:r>
      <w:r w:rsidR="00C32E4B">
        <w:t>the</w:t>
      </w:r>
      <w:r>
        <w:t xml:space="preserve"> Code is</w:t>
      </w:r>
      <w:r w:rsidR="00FA0F71">
        <w:t xml:space="preserve"> </w:t>
      </w:r>
      <w:r w:rsidR="002B3B10">
        <w:t xml:space="preserve">aligned with the Government’s response to the groceries market study. In addition to the broader objective, the Code is intended to </w:t>
      </w:r>
      <w:r w:rsidR="00037E77">
        <w:t>improve</w:t>
      </w:r>
      <w:r w:rsidR="00A35C86">
        <w:t xml:space="preserve"> </w:t>
      </w:r>
      <w:r w:rsidR="00C32E4B">
        <w:t xml:space="preserve">the </w:t>
      </w:r>
      <w:r w:rsidR="00A35C86">
        <w:t>dealing</w:t>
      </w:r>
      <w:r w:rsidR="00C32E4B">
        <w:t xml:space="preserve">s between the major grocery retailers and suppliers </w:t>
      </w:r>
      <w:r w:rsidR="00A35C86">
        <w:t xml:space="preserve">and competition in the market for the </w:t>
      </w:r>
      <w:r w:rsidR="00A35C86">
        <w:lastRenderedPageBreak/>
        <w:t>acquisition of groceries</w:t>
      </w:r>
      <w:r w:rsidR="002B2E06">
        <w:t>. This will be done</w:t>
      </w:r>
      <w:r w:rsidR="00B458C9">
        <w:t xml:space="preserve"> </w:t>
      </w:r>
      <w:r w:rsidR="00A35C86">
        <w:t>by addressing</w:t>
      </w:r>
      <w:r w:rsidR="00037E77">
        <w:t xml:space="preserve"> </w:t>
      </w:r>
      <w:r w:rsidR="00607191">
        <w:t xml:space="preserve">issues caused by </w:t>
      </w:r>
      <w:r w:rsidR="00037E77">
        <w:t xml:space="preserve">the </w:t>
      </w:r>
      <w:r w:rsidR="005017D3">
        <w:t>im</w:t>
      </w:r>
      <w:r w:rsidR="00BE0C1E">
        <w:t xml:space="preserve">balance </w:t>
      </w:r>
      <w:r w:rsidR="00037E77">
        <w:t>of</w:t>
      </w:r>
      <w:r w:rsidR="00BE0C1E">
        <w:t xml:space="preserve"> negotiating </w:t>
      </w:r>
      <w:r w:rsidR="00D56665">
        <w:t xml:space="preserve">power between the </w:t>
      </w:r>
      <w:r w:rsidR="00D56665" w:rsidRPr="00791881">
        <w:t>major grocery retailers</w:t>
      </w:r>
      <w:r w:rsidR="00D56665">
        <w:t xml:space="preserve"> and their suppliers</w:t>
      </w:r>
      <w:r w:rsidR="00037E77">
        <w:t>.</w:t>
      </w:r>
      <w:bookmarkEnd w:id="51"/>
      <w:r w:rsidR="00037E77">
        <w:t xml:space="preserve"> </w:t>
      </w:r>
    </w:p>
    <w:p w14:paraId="5C224FA1" w14:textId="0CE4F38B" w:rsidR="00343F49" w:rsidRPr="00052D51" w:rsidRDefault="00C67E25" w:rsidP="00052D51">
      <w:pPr>
        <w:pStyle w:val="Numbered"/>
      </w:pPr>
      <w:r>
        <w:t>The</w:t>
      </w:r>
      <w:r w:rsidR="00037E77">
        <w:t xml:space="preserve"> Code should help</w:t>
      </w:r>
      <w:r w:rsidR="00791881">
        <w:t xml:space="preserve"> suppliers to innovate and invest in new grocery products and reduce the </w:t>
      </w:r>
      <w:r w:rsidR="00C32E4B">
        <w:t xml:space="preserve">likelihood of </w:t>
      </w:r>
      <w:r w:rsidR="00791881">
        <w:t>suppliers being forced to exit the market</w:t>
      </w:r>
      <w:r w:rsidR="00C32E4B">
        <w:t xml:space="preserve"> due to conduct of grocery retailers</w:t>
      </w:r>
      <w:r w:rsidR="00D94B7B">
        <w:t xml:space="preserve">. </w:t>
      </w:r>
    </w:p>
    <w:p w14:paraId="683ABFB7" w14:textId="46E169F4" w:rsidR="00C02E3D" w:rsidRDefault="002A5343" w:rsidP="00D6326D">
      <w:pPr>
        <w:pStyle w:val="Heading2"/>
        <w:tabs>
          <w:tab w:val="left" w:pos="567"/>
        </w:tabs>
      </w:pPr>
      <w:bookmarkStart w:id="52" w:name="_Toc103173673"/>
      <w:bookmarkStart w:id="53" w:name="_Toc104358633"/>
      <w:bookmarkStart w:id="54" w:name="_Toc107919619"/>
      <w:r>
        <w:t>2</w:t>
      </w:r>
      <w:r w:rsidR="00385845">
        <w:t>.3</w:t>
      </w:r>
      <w:r w:rsidR="00D6326D">
        <w:tab/>
      </w:r>
      <w:r w:rsidR="00C02E3D" w:rsidRPr="00C23599">
        <w:t xml:space="preserve">What </w:t>
      </w:r>
      <w:r w:rsidR="00C02E3D">
        <w:t>criteria will be used to evaluate the options</w:t>
      </w:r>
      <w:r w:rsidR="00C02E3D" w:rsidRPr="00C23599">
        <w:t>?</w:t>
      </w:r>
      <w:bookmarkEnd w:id="52"/>
      <w:bookmarkEnd w:id="53"/>
      <w:bookmarkEnd w:id="54"/>
    </w:p>
    <w:p w14:paraId="223A21A2" w14:textId="0B2E3916" w:rsidR="00312534" w:rsidRDefault="00286068" w:rsidP="00C76AF0">
      <w:pPr>
        <w:pStyle w:val="Numbered"/>
      </w:pPr>
      <w:r>
        <w:t xml:space="preserve">The </w:t>
      </w:r>
      <w:r w:rsidR="00312534">
        <w:t xml:space="preserve">following criteria </w:t>
      </w:r>
      <w:r w:rsidR="00C76AF0">
        <w:t xml:space="preserve">will be used </w:t>
      </w:r>
      <w:r w:rsidR="00312534">
        <w:t>to evaluate options</w:t>
      </w:r>
      <w:r w:rsidR="00C76AF0">
        <w:t xml:space="preserve"> for </w:t>
      </w:r>
      <w:r w:rsidR="00BE4FBC">
        <w:t>the</w:t>
      </w:r>
      <w:r w:rsidR="00374FFB">
        <w:t xml:space="preserve"> content of the</w:t>
      </w:r>
      <w:r w:rsidR="00C76AF0">
        <w:t xml:space="preserve"> Code</w:t>
      </w:r>
      <w:r w:rsidR="00312534">
        <w:t>:</w:t>
      </w:r>
    </w:p>
    <w:p w14:paraId="2B290F75" w14:textId="4C6D2CFB" w:rsidR="00312534" w:rsidRPr="009D6BD2" w:rsidRDefault="00A03378" w:rsidP="003F2198">
      <w:pPr>
        <w:pStyle w:val="Numbered"/>
        <w:numPr>
          <w:ilvl w:val="1"/>
          <w:numId w:val="9"/>
        </w:numPr>
      </w:pPr>
      <w:bookmarkStart w:id="55" w:name="_Hlk103928641"/>
      <w:r>
        <w:rPr>
          <w:b/>
          <w:bCs/>
        </w:rPr>
        <w:t>Effective</w:t>
      </w:r>
      <w:r w:rsidR="00312534" w:rsidRPr="009D6BD2">
        <w:rPr>
          <w:b/>
          <w:bCs/>
        </w:rPr>
        <w:t xml:space="preserve">: </w:t>
      </w:r>
      <w:r w:rsidR="00875732">
        <w:t xml:space="preserve">How </w:t>
      </w:r>
      <w:r w:rsidR="00967602">
        <w:t>would</w:t>
      </w:r>
      <w:r w:rsidRPr="009D6BD2">
        <w:t xml:space="preserve"> the option </w:t>
      </w:r>
      <w:r w:rsidR="00DC4232">
        <w:t xml:space="preserve">contribute to </w:t>
      </w:r>
      <w:r w:rsidR="00037923">
        <w:t xml:space="preserve">the </w:t>
      </w:r>
      <w:r w:rsidR="004E1747">
        <w:t xml:space="preserve">Code’s </w:t>
      </w:r>
      <w:r w:rsidR="00037923">
        <w:t xml:space="preserve">objective and to the </w:t>
      </w:r>
      <w:r w:rsidR="00967602">
        <w:t xml:space="preserve">grocery </w:t>
      </w:r>
      <w:r w:rsidR="00DC4232">
        <w:t>market working well for all participants</w:t>
      </w:r>
      <w:r w:rsidR="007031C2">
        <w:t xml:space="preserve"> (</w:t>
      </w:r>
      <w:r w:rsidR="004E1747">
        <w:t xml:space="preserve">grocery </w:t>
      </w:r>
      <w:r w:rsidR="007031C2">
        <w:t xml:space="preserve">retailers and </w:t>
      </w:r>
      <w:r w:rsidR="004E1747">
        <w:t xml:space="preserve">their </w:t>
      </w:r>
      <w:r w:rsidR="007031C2">
        <w:t>suppliers)</w:t>
      </w:r>
      <w:r w:rsidR="004E1747">
        <w:t>?</w:t>
      </w:r>
      <w:r w:rsidR="00C267D5">
        <w:t xml:space="preserve"> </w:t>
      </w:r>
      <w:r w:rsidR="00875732">
        <w:t>Consider</w:t>
      </w:r>
      <w:r w:rsidR="00967602">
        <w:t>ation of this criterion includes</w:t>
      </w:r>
      <w:r w:rsidR="00C267D5">
        <w:t xml:space="preserve"> distributional impacts (between retailers, suppliers and possibly consumers) and dynamic impacts (such as increases in output or productivity).</w:t>
      </w:r>
    </w:p>
    <w:p w14:paraId="6142B98B" w14:textId="65396CCF" w:rsidR="00312534" w:rsidRPr="009D6BD2" w:rsidRDefault="00A03378" w:rsidP="003F2198">
      <w:pPr>
        <w:pStyle w:val="Numbered"/>
        <w:numPr>
          <w:ilvl w:val="1"/>
          <w:numId w:val="9"/>
        </w:numPr>
        <w:rPr>
          <w:b/>
          <w:bCs/>
        </w:rPr>
      </w:pPr>
      <w:r>
        <w:rPr>
          <w:b/>
          <w:bCs/>
        </w:rPr>
        <w:t xml:space="preserve">Efficient: </w:t>
      </w:r>
      <w:r w:rsidR="00967602">
        <w:t>H</w:t>
      </w:r>
      <w:r w:rsidRPr="009D6BD2">
        <w:t xml:space="preserve">ow much extra cost (eg compliance costs) </w:t>
      </w:r>
      <w:r w:rsidR="00967602">
        <w:t>would</w:t>
      </w:r>
      <w:r w:rsidR="00875732">
        <w:t xml:space="preserve"> </w:t>
      </w:r>
      <w:r w:rsidRPr="009D6BD2">
        <w:t>the option impose</w:t>
      </w:r>
      <w:r w:rsidR="00BE0C1E">
        <w:t xml:space="preserve"> on </w:t>
      </w:r>
      <w:r w:rsidR="004E1747">
        <w:t xml:space="preserve">grocery </w:t>
      </w:r>
      <w:r w:rsidR="00BE0C1E">
        <w:t xml:space="preserve">retailers and </w:t>
      </w:r>
      <w:r w:rsidR="004E1747">
        <w:t xml:space="preserve">their </w:t>
      </w:r>
      <w:r w:rsidR="00BE0C1E">
        <w:t>suppliers</w:t>
      </w:r>
      <w:r w:rsidR="00C267D5">
        <w:t xml:space="preserve">, </w:t>
      </w:r>
      <w:r w:rsidR="00751970">
        <w:t>after accounting for</w:t>
      </w:r>
      <w:r w:rsidR="00C267D5">
        <w:t xml:space="preserve"> </w:t>
      </w:r>
      <w:r w:rsidRPr="009D6BD2">
        <w:t>any expected efficiency gains</w:t>
      </w:r>
      <w:r w:rsidR="004E1747">
        <w:t>?</w:t>
      </w:r>
    </w:p>
    <w:p w14:paraId="58A1FB70" w14:textId="38A77127" w:rsidR="00D6425C" w:rsidRPr="00037923" w:rsidRDefault="00312534" w:rsidP="003F2198">
      <w:pPr>
        <w:pStyle w:val="Numbered"/>
        <w:numPr>
          <w:ilvl w:val="1"/>
          <w:numId w:val="9"/>
        </w:numPr>
      </w:pPr>
      <w:r w:rsidRPr="005474B9">
        <w:rPr>
          <w:b/>
          <w:bCs/>
        </w:rPr>
        <w:t>Durable</w:t>
      </w:r>
      <w:r w:rsidRPr="009D6BD2">
        <w:rPr>
          <w:b/>
          <w:bCs/>
        </w:rPr>
        <w:t xml:space="preserve">: </w:t>
      </w:r>
      <w:r w:rsidR="00967602">
        <w:t>I</w:t>
      </w:r>
      <w:r w:rsidRPr="009D6BD2">
        <w:t>s</w:t>
      </w:r>
      <w:r w:rsidR="00C267D5">
        <w:t xml:space="preserve"> the option ‘</w:t>
      </w:r>
      <w:r w:rsidRPr="009D6BD2">
        <w:t>up-to-date</w:t>
      </w:r>
      <w:r w:rsidR="00C267D5">
        <w:t>’</w:t>
      </w:r>
      <w:r w:rsidRPr="009D6BD2">
        <w:t xml:space="preserve"> </w:t>
      </w:r>
      <w:r w:rsidR="00751970">
        <w:t>in terms of</w:t>
      </w:r>
      <w:r w:rsidRPr="009D6BD2">
        <w:t xml:space="preserve"> </w:t>
      </w:r>
      <w:r w:rsidR="00C267D5">
        <w:t xml:space="preserve">best </w:t>
      </w:r>
      <w:r w:rsidR="00751970">
        <w:t xml:space="preserve">regulatory </w:t>
      </w:r>
      <w:r w:rsidRPr="009D6BD2">
        <w:t xml:space="preserve">practice, and </w:t>
      </w:r>
      <w:r w:rsidR="00C267D5">
        <w:t xml:space="preserve">will </w:t>
      </w:r>
      <w:r w:rsidR="00751970">
        <w:t>it</w:t>
      </w:r>
      <w:r w:rsidR="00C267D5">
        <w:t xml:space="preserve"> be </w:t>
      </w:r>
      <w:r w:rsidRPr="009D6BD2">
        <w:t xml:space="preserve">flexible </w:t>
      </w:r>
      <w:r w:rsidR="00751970">
        <w:t xml:space="preserve">enough </w:t>
      </w:r>
      <w:r w:rsidRPr="009D6BD2">
        <w:t>over time</w:t>
      </w:r>
      <w:r w:rsidR="00286068">
        <w:t xml:space="preserve"> </w:t>
      </w:r>
      <w:r w:rsidR="00751970">
        <w:t>to</w:t>
      </w:r>
      <w:r w:rsidR="00286068">
        <w:t xml:space="preserve"> adapt to changes in the </w:t>
      </w:r>
      <w:r w:rsidR="00751970">
        <w:t xml:space="preserve">grocery </w:t>
      </w:r>
      <w:r w:rsidR="00286068">
        <w:t>market</w:t>
      </w:r>
      <w:r w:rsidR="004E1747">
        <w:t>?</w:t>
      </w:r>
      <w:bookmarkEnd w:id="55"/>
    </w:p>
    <w:p w14:paraId="2F0F4549" w14:textId="2D08F125" w:rsidR="00DA7FFB" w:rsidRDefault="00751970" w:rsidP="00760D39">
      <w:pPr>
        <w:pStyle w:val="Numbered"/>
      </w:pPr>
      <w:r>
        <w:t>For the purpose of this paper,</w:t>
      </w:r>
      <w:r w:rsidR="00C267D5">
        <w:t xml:space="preserve"> the criteria </w:t>
      </w:r>
      <w:r w:rsidR="00875732">
        <w:t xml:space="preserve">are </w:t>
      </w:r>
      <w:r w:rsidR="00C267D5">
        <w:t>weighted</w:t>
      </w:r>
      <w:r>
        <w:t xml:space="preserve"> equally</w:t>
      </w:r>
      <w:r w:rsidR="00C267D5">
        <w:t xml:space="preserve">. </w:t>
      </w:r>
      <w:r w:rsidR="00DA7FFB">
        <w:t xml:space="preserve">There </w:t>
      </w:r>
      <w:r w:rsidR="00875732">
        <w:t>are s</w:t>
      </w:r>
      <w:r w:rsidR="00DA7FFB">
        <w:t xml:space="preserve">ome overlaps </w:t>
      </w:r>
      <w:r>
        <w:t>across</w:t>
      </w:r>
      <w:r w:rsidR="00DA7FFB">
        <w:t xml:space="preserve"> the criteria. For </w:t>
      </w:r>
      <w:r w:rsidR="00286068">
        <w:t>example,</w:t>
      </w:r>
      <w:r w:rsidR="00DA7FFB">
        <w:t xml:space="preserve"> </w:t>
      </w:r>
      <w:r w:rsidR="009E4E97">
        <w:t xml:space="preserve">the </w:t>
      </w:r>
      <w:r w:rsidR="00DA7FFB">
        <w:t>effectiv</w:t>
      </w:r>
      <w:r w:rsidR="00875732">
        <w:t xml:space="preserve">eness and </w:t>
      </w:r>
      <w:r w:rsidR="00DA7FFB">
        <w:t>efficien</w:t>
      </w:r>
      <w:r w:rsidR="00875732">
        <w:t>cy</w:t>
      </w:r>
      <w:r w:rsidR="00DA7FFB">
        <w:t xml:space="preserve"> </w:t>
      </w:r>
      <w:r w:rsidR="009E4E97">
        <w:t xml:space="preserve">criteria </w:t>
      </w:r>
      <w:r w:rsidR="00DA7FFB">
        <w:t xml:space="preserve">both have a strong </w:t>
      </w:r>
      <w:r w:rsidR="00875732">
        <w:t xml:space="preserve">economic </w:t>
      </w:r>
      <w:r w:rsidR="00DA7FFB">
        <w:t>component</w:t>
      </w:r>
      <w:r w:rsidR="009E4E97">
        <w:t>.</w:t>
      </w:r>
      <w:r w:rsidR="00791881">
        <w:t xml:space="preserve"> T</w:t>
      </w:r>
      <w:r w:rsidR="007031C2">
        <w:t>his</w:t>
      </w:r>
      <w:r w:rsidR="00875732">
        <w:t xml:space="preserve"> </w:t>
      </w:r>
      <w:r w:rsidR="00D94B7B">
        <w:t xml:space="preserve">is </w:t>
      </w:r>
      <w:r w:rsidR="00791881">
        <w:t xml:space="preserve">considered </w:t>
      </w:r>
      <w:r w:rsidR="00DA7FFB">
        <w:t xml:space="preserve">appropriate </w:t>
      </w:r>
      <w:r w:rsidR="00791881">
        <w:t xml:space="preserve">to reflect the </w:t>
      </w:r>
      <w:r w:rsidR="00875732">
        <w:t>economic considerations</w:t>
      </w:r>
      <w:r w:rsidR="00791881">
        <w:t xml:space="preserve"> connected to the Code</w:t>
      </w:r>
      <w:r w:rsidR="00DA7FFB">
        <w:t xml:space="preserve">. </w:t>
      </w:r>
    </w:p>
    <w:p w14:paraId="47A142FA" w14:textId="6B188EB5" w:rsidR="00C32E4B" w:rsidRDefault="00C32E4B" w:rsidP="00760D39">
      <w:pPr>
        <w:pStyle w:val="Numbered"/>
      </w:pPr>
      <w:r>
        <w:t xml:space="preserve">The criteria are relatively broad meaning there are some internal consistencies to be managed. For example </w:t>
      </w:r>
      <w:r w:rsidR="001E6C8F">
        <w:t>efficiency captures the costs for both retailers and suppliers. There may be some instances where an option imposes inefficiencies on both retailers and suppliers, but there may be other instances where an option may trade-off inefficiencies between retailers and suppliers.</w:t>
      </w:r>
    </w:p>
    <w:p w14:paraId="1E3A487D" w14:textId="1300E00A" w:rsidR="00531897" w:rsidRDefault="00A720A6" w:rsidP="00760D39">
      <w:pPr>
        <w:pStyle w:val="Numbered"/>
      </w:pPr>
      <w:r>
        <w:t>For</w:t>
      </w:r>
      <w:r w:rsidR="00531897">
        <w:t xml:space="preserve"> the analysis</w:t>
      </w:r>
      <w:r>
        <w:t xml:space="preserve"> in this paper</w:t>
      </w:r>
      <w:r w:rsidR="00531897">
        <w:t>, each criteri</w:t>
      </w:r>
      <w:r w:rsidR="000A65DD">
        <w:t>on</w:t>
      </w:r>
      <w:r w:rsidR="00531897">
        <w:t xml:space="preserve"> is given a rating from </w:t>
      </w:r>
      <w:r w:rsidR="009E4E97">
        <w:t>“</w:t>
      </w:r>
      <w:r w:rsidR="00531897">
        <w:t>-3</w:t>
      </w:r>
      <w:r w:rsidR="009E4E97">
        <w:t>”</w:t>
      </w:r>
      <w:r w:rsidR="00531897">
        <w:t xml:space="preserve"> to </w:t>
      </w:r>
      <w:r w:rsidR="009E4E97">
        <w:t>“</w:t>
      </w:r>
      <w:r w:rsidR="00531897">
        <w:t>+3</w:t>
      </w:r>
      <w:r w:rsidR="009E4E97">
        <w:t>”</w:t>
      </w:r>
      <w:r>
        <w:t>.</w:t>
      </w:r>
      <w:r w:rsidR="00531897">
        <w:t xml:space="preserve"> </w:t>
      </w:r>
      <w:r>
        <w:t>T</w:t>
      </w:r>
      <w:r w:rsidR="00531897">
        <w:t xml:space="preserve">he rating compares </w:t>
      </w:r>
      <w:r w:rsidR="00DB35CF">
        <w:t xml:space="preserve">what is expected to happen against the </w:t>
      </w:r>
      <w:r w:rsidR="002A5343">
        <w:t xml:space="preserve">Commission’s findings (refer to paragraphs </w:t>
      </w:r>
      <w:r w:rsidR="002A5343">
        <w:fldChar w:fldCharType="begin"/>
      </w:r>
      <w:r w:rsidR="002A5343">
        <w:instrText xml:space="preserve"> REF _Ref105060903 \r \h </w:instrText>
      </w:r>
      <w:r w:rsidR="002A5343">
        <w:fldChar w:fldCharType="separate"/>
      </w:r>
      <w:r w:rsidR="008D0C1F">
        <w:t>2</w:t>
      </w:r>
      <w:r w:rsidR="002A5343">
        <w:fldChar w:fldCharType="end"/>
      </w:r>
      <w:r w:rsidR="002A5343">
        <w:t xml:space="preserve"> and </w:t>
      </w:r>
      <w:r w:rsidR="002A5343">
        <w:fldChar w:fldCharType="begin"/>
      </w:r>
      <w:r w:rsidR="002A5343">
        <w:instrText xml:space="preserve"> REF _Ref105059746 \r \h </w:instrText>
      </w:r>
      <w:r w:rsidR="002A5343">
        <w:fldChar w:fldCharType="separate"/>
      </w:r>
      <w:r w:rsidR="008D0C1F">
        <w:t>7</w:t>
      </w:r>
      <w:r w:rsidR="002A5343">
        <w:fldChar w:fldCharType="end"/>
      </w:r>
      <w:r w:rsidR="002A5343">
        <w:t>, above)</w:t>
      </w:r>
      <w:r w:rsidR="00DB35CF">
        <w:t xml:space="preserve">. </w:t>
      </w:r>
    </w:p>
    <w:p w14:paraId="08A70C8C" w14:textId="4BAF3B05" w:rsidR="004B5574" w:rsidRDefault="004B5574" w:rsidP="00760D39">
      <w:pPr>
        <w:pStyle w:val="Numbered"/>
      </w:pPr>
      <w:r>
        <w:t xml:space="preserve">A different criteria are used for the options in relation to dispute resolution, </w:t>
      </w:r>
      <w:r w:rsidR="00D94B7B">
        <w:t xml:space="preserve">which </w:t>
      </w:r>
      <w:r>
        <w:t>is outlined in Chapter 8.</w:t>
      </w:r>
    </w:p>
    <w:p w14:paraId="77C6B89D" w14:textId="3A71B1CE" w:rsidR="00D6425C" w:rsidRDefault="002A5343" w:rsidP="00D6326D">
      <w:pPr>
        <w:pStyle w:val="Heading2"/>
        <w:tabs>
          <w:tab w:val="left" w:pos="567"/>
        </w:tabs>
      </w:pPr>
      <w:bookmarkStart w:id="56" w:name="_Toc100311848"/>
      <w:bookmarkStart w:id="57" w:name="_Toc103173674"/>
      <w:bookmarkStart w:id="58" w:name="_Toc104358634"/>
      <w:bookmarkStart w:id="59" w:name="_Toc107919620"/>
      <w:r>
        <w:t>2</w:t>
      </w:r>
      <w:r w:rsidR="00385845">
        <w:t>.4</w:t>
      </w:r>
      <w:r w:rsidR="00D6326D">
        <w:tab/>
      </w:r>
      <w:r w:rsidR="00D6425C">
        <w:t>What are the policy options?</w:t>
      </w:r>
      <w:bookmarkEnd w:id="56"/>
      <w:bookmarkEnd w:id="57"/>
      <w:bookmarkEnd w:id="58"/>
      <w:bookmarkEnd w:id="59"/>
    </w:p>
    <w:p w14:paraId="4C910B73" w14:textId="0DE39AEC" w:rsidR="00DA7FFB" w:rsidRDefault="000B2557" w:rsidP="002E4AAA">
      <w:pPr>
        <w:pStyle w:val="Numbered"/>
      </w:pPr>
      <w:bookmarkStart w:id="60" w:name="_Ref104359320"/>
      <w:r>
        <w:t xml:space="preserve">The </w:t>
      </w:r>
      <w:r w:rsidR="00DA7FFB">
        <w:t xml:space="preserve">policy </w:t>
      </w:r>
      <w:r>
        <w:t xml:space="preserve">options </w:t>
      </w:r>
      <w:r w:rsidR="00A720A6">
        <w:t xml:space="preserve">for the Code </w:t>
      </w:r>
      <w:r>
        <w:t xml:space="preserve">are </w:t>
      </w:r>
      <w:r w:rsidR="00DA7FFB">
        <w:t xml:space="preserve">outlined below and </w:t>
      </w:r>
      <w:r>
        <w:t>developed in detail throughout the paper</w:t>
      </w:r>
      <w:r w:rsidR="00DA7FFB">
        <w:t>.</w:t>
      </w:r>
      <w:bookmarkEnd w:id="60"/>
      <w:r w:rsidR="009807C7">
        <w:t xml:space="preserve"> </w:t>
      </w:r>
      <w:r w:rsidR="00337150">
        <w:t xml:space="preserve">All three options (below) will give effect to the Commission’s recommendation to develop a mandatory code. </w:t>
      </w:r>
    </w:p>
    <w:p w14:paraId="49E4D24C" w14:textId="25B7879F" w:rsidR="00563B9E" w:rsidRDefault="00563B9E" w:rsidP="003F2198">
      <w:pPr>
        <w:pStyle w:val="Numbered"/>
        <w:numPr>
          <w:ilvl w:val="1"/>
          <w:numId w:val="19"/>
        </w:numPr>
        <w:rPr>
          <w:b/>
          <w:bCs/>
        </w:rPr>
      </w:pPr>
      <w:bookmarkStart w:id="61" w:name="_Hlk103930568"/>
      <w:r w:rsidRPr="00563B9E">
        <w:rPr>
          <w:b/>
          <w:bCs/>
        </w:rPr>
        <w:t>Option 1: Principle-based Code</w:t>
      </w:r>
      <w:r w:rsidR="00AE2990">
        <w:rPr>
          <w:b/>
          <w:bCs/>
        </w:rPr>
        <w:t>.</w:t>
      </w:r>
      <w:r>
        <w:rPr>
          <w:b/>
          <w:bCs/>
        </w:rPr>
        <w:t xml:space="preserve"> </w:t>
      </w:r>
      <w:r w:rsidR="00C02E3D">
        <w:t>Th</w:t>
      </w:r>
      <w:r w:rsidR="002579D1">
        <w:t xml:space="preserve">is </w:t>
      </w:r>
      <w:r w:rsidR="00C02E3D">
        <w:t>option is a high-level principle</w:t>
      </w:r>
      <w:r w:rsidR="00C67E25">
        <w:t>-</w:t>
      </w:r>
      <w:r w:rsidR="00C02E3D">
        <w:t xml:space="preserve">based Code, which may be relatively </w:t>
      </w:r>
      <w:r w:rsidR="00C02E3D" w:rsidRPr="002579D1">
        <w:t xml:space="preserve">similar to the </w:t>
      </w:r>
      <w:r w:rsidR="002A5343">
        <w:t>UK Code</w:t>
      </w:r>
      <w:r w:rsidR="009E15DB">
        <w:t>.</w:t>
      </w:r>
    </w:p>
    <w:p w14:paraId="0EC6CF19" w14:textId="622BF223" w:rsidR="00563B9E" w:rsidRDefault="000B2557" w:rsidP="003F2198">
      <w:pPr>
        <w:pStyle w:val="Numbered"/>
        <w:numPr>
          <w:ilvl w:val="1"/>
          <w:numId w:val="19"/>
        </w:numPr>
      </w:pPr>
      <w:r w:rsidRPr="00563B9E">
        <w:rPr>
          <w:b/>
          <w:bCs/>
        </w:rPr>
        <w:lastRenderedPageBreak/>
        <w:t xml:space="preserve">Option </w:t>
      </w:r>
      <w:r w:rsidR="00BE7F70" w:rsidRPr="00563B9E">
        <w:rPr>
          <w:b/>
          <w:bCs/>
        </w:rPr>
        <w:t>2</w:t>
      </w:r>
      <w:r w:rsidRPr="00563B9E">
        <w:rPr>
          <w:b/>
          <w:bCs/>
        </w:rPr>
        <w:t xml:space="preserve">: </w:t>
      </w:r>
      <w:r w:rsidR="002A5343">
        <w:rPr>
          <w:b/>
          <w:bCs/>
        </w:rPr>
        <w:t xml:space="preserve">Prescriptive </w:t>
      </w:r>
      <w:r w:rsidR="00080436">
        <w:rPr>
          <w:b/>
          <w:bCs/>
        </w:rPr>
        <w:t>Code</w:t>
      </w:r>
      <w:r w:rsidR="00AE2990">
        <w:rPr>
          <w:b/>
          <w:bCs/>
        </w:rPr>
        <w:t>.</w:t>
      </w:r>
      <w:r w:rsidR="00563B9E" w:rsidRPr="00563B9E">
        <w:t xml:space="preserve"> </w:t>
      </w:r>
      <w:r>
        <w:t>Th</w:t>
      </w:r>
      <w:r w:rsidR="002579D1">
        <w:t xml:space="preserve">is </w:t>
      </w:r>
      <w:r>
        <w:t xml:space="preserve">option </w:t>
      </w:r>
      <w:r w:rsidR="00F42177">
        <w:t xml:space="preserve">is </w:t>
      </w:r>
      <w:r w:rsidR="00337150">
        <w:t xml:space="preserve">most </w:t>
      </w:r>
      <w:r w:rsidR="00510FC7">
        <w:t xml:space="preserve">consistent with the </w:t>
      </w:r>
      <w:r w:rsidR="00337150">
        <w:t xml:space="preserve">detail of the </w:t>
      </w:r>
      <w:r w:rsidR="00510FC7">
        <w:t xml:space="preserve">Commission’s </w:t>
      </w:r>
      <w:r w:rsidR="00337150">
        <w:t xml:space="preserve">recommendation in relation </w:t>
      </w:r>
      <w:r w:rsidR="002A5343">
        <w:t>to develop</w:t>
      </w:r>
      <w:r w:rsidR="009E15DB">
        <w:t>ing</w:t>
      </w:r>
      <w:r w:rsidR="00510FC7">
        <w:t xml:space="preserve"> </w:t>
      </w:r>
      <w:r w:rsidR="00B86EF2">
        <w:t xml:space="preserve">a </w:t>
      </w:r>
      <w:r w:rsidR="002579D1">
        <w:t>Code</w:t>
      </w:r>
      <w:r w:rsidR="006C1380">
        <w:t xml:space="preserve"> </w:t>
      </w:r>
      <w:r w:rsidR="002A5343">
        <w:t xml:space="preserve">using </w:t>
      </w:r>
      <w:r w:rsidR="00B86EF2">
        <w:t xml:space="preserve">the </w:t>
      </w:r>
      <w:r w:rsidR="00B86EF2" w:rsidRPr="002579D1">
        <w:t>Australian</w:t>
      </w:r>
      <w:r w:rsidR="002A5343">
        <w:t xml:space="preserve"> </w:t>
      </w:r>
      <w:r w:rsidR="00B86EF2" w:rsidRPr="002579D1">
        <w:t>Code</w:t>
      </w:r>
      <w:r w:rsidR="002A5343">
        <w:t xml:space="preserve"> as a starting point</w:t>
      </w:r>
      <w:r w:rsidR="002579D1">
        <w:t xml:space="preserve"> </w:t>
      </w:r>
      <w:r w:rsidR="00510FC7">
        <w:t xml:space="preserve">and </w:t>
      </w:r>
      <w:r w:rsidR="001E6C8F">
        <w:t>using</w:t>
      </w:r>
      <w:r w:rsidR="009E15DB">
        <w:t xml:space="preserve"> </w:t>
      </w:r>
      <w:r w:rsidR="00334C1F">
        <w:t xml:space="preserve">provisions from </w:t>
      </w:r>
      <w:r w:rsidR="0093631E" w:rsidRPr="00334C1F">
        <w:t>the UK Code when</w:t>
      </w:r>
      <w:r w:rsidR="0093631E">
        <w:t xml:space="preserve"> there is good reason to</w:t>
      </w:r>
      <w:r w:rsidR="00EA325D">
        <w:t xml:space="preserve"> do so</w:t>
      </w:r>
      <w:r w:rsidR="0093631E">
        <w:t>.</w:t>
      </w:r>
      <w:r w:rsidR="00563B9E">
        <w:t xml:space="preserve"> </w:t>
      </w:r>
    </w:p>
    <w:p w14:paraId="16A65BB5" w14:textId="4AF50374" w:rsidR="000B2557" w:rsidRDefault="000B2557" w:rsidP="003F2198">
      <w:pPr>
        <w:pStyle w:val="Numbered"/>
        <w:numPr>
          <w:ilvl w:val="1"/>
          <w:numId w:val="19"/>
        </w:numPr>
      </w:pPr>
      <w:r w:rsidRPr="00563B9E">
        <w:rPr>
          <w:b/>
          <w:bCs/>
        </w:rPr>
        <w:t xml:space="preserve">Option </w:t>
      </w:r>
      <w:r w:rsidR="00BE7F70" w:rsidRPr="00563B9E">
        <w:rPr>
          <w:b/>
          <w:bCs/>
        </w:rPr>
        <w:t>3</w:t>
      </w:r>
      <w:r w:rsidRPr="00563B9E">
        <w:rPr>
          <w:b/>
          <w:bCs/>
        </w:rPr>
        <w:t xml:space="preserve">: </w:t>
      </w:r>
      <w:r w:rsidR="00141601">
        <w:rPr>
          <w:b/>
          <w:bCs/>
        </w:rPr>
        <w:t>Alternative</w:t>
      </w:r>
      <w:r w:rsidR="00141601" w:rsidRPr="00563B9E">
        <w:rPr>
          <w:b/>
          <w:bCs/>
        </w:rPr>
        <w:t xml:space="preserve"> </w:t>
      </w:r>
      <w:r w:rsidR="00E55AC2" w:rsidRPr="00563B9E">
        <w:rPr>
          <w:b/>
          <w:bCs/>
        </w:rPr>
        <w:t>Code</w:t>
      </w:r>
      <w:r w:rsidR="00AE2990">
        <w:rPr>
          <w:b/>
          <w:bCs/>
        </w:rPr>
        <w:t>.</w:t>
      </w:r>
      <w:r w:rsidR="00563B9E" w:rsidRPr="00563B9E">
        <w:t xml:space="preserve"> </w:t>
      </w:r>
      <w:r>
        <w:t>Th</w:t>
      </w:r>
      <w:r w:rsidR="00334C1F">
        <w:t xml:space="preserve">is </w:t>
      </w:r>
      <w:r>
        <w:t xml:space="preserve">option </w:t>
      </w:r>
      <w:r w:rsidR="00141601">
        <w:t xml:space="preserve">both builds </w:t>
      </w:r>
      <w:r w:rsidR="00510FC7">
        <w:t xml:space="preserve">on </w:t>
      </w:r>
      <w:r w:rsidR="00AE2990">
        <w:t>O</w:t>
      </w:r>
      <w:r w:rsidR="00510FC7">
        <w:t xml:space="preserve">ption 2 </w:t>
      </w:r>
      <w:r w:rsidR="00141601">
        <w:t xml:space="preserve">(with a focus on </w:t>
      </w:r>
      <w:r w:rsidR="00AE2990">
        <w:t>prioritis</w:t>
      </w:r>
      <w:r w:rsidR="00141601">
        <w:t xml:space="preserve">ing </w:t>
      </w:r>
      <w:r w:rsidR="00334C1F">
        <w:t>strong protections for suppliers</w:t>
      </w:r>
      <w:r w:rsidR="00141601">
        <w:t>) and also removes some components that may not be necessary for New Zealand</w:t>
      </w:r>
      <w:r w:rsidR="00334C1F">
        <w:t>.</w:t>
      </w:r>
    </w:p>
    <w:p w14:paraId="308545F9" w14:textId="41D81F2E" w:rsidR="00E420D7" w:rsidRDefault="00E420D7" w:rsidP="00E420D7">
      <w:pPr>
        <w:pStyle w:val="Numbered"/>
      </w:pPr>
      <w:bookmarkStart w:id="62" w:name="_Toc100311846"/>
      <w:bookmarkEnd w:id="61"/>
      <w:r>
        <w:t xml:space="preserve">The </w:t>
      </w:r>
      <w:r w:rsidR="00F42177">
        <w:t xml:space="preserve">policy </w:t>
      </w:r>
      <w:r>
        <w:t xml:space="preserve">options </w:t>
      </w:r>
      <w:r w:rsidR="00A87C11">
        <w:t>have been</w:t>
      </w:r>
      <w:r>
        <w:t xml:space="preserve"> developed with reference to the </w:t>
      </w:r>
      <w:r w:rsidR="00A87C11">
        <w:t>UK Code and the Australian Code</w:t>
      </w:r>
      <w:r w:rsidR="002A5343">
        <w:t>:</w:t>
      </w:r>
    </w:p>
    <w:p w14:paraId="534B95A5" w14:textId="0B040622" w:rsidR="006C1380" w:rsidRDefault="002A5343" w:rsidP="003F2198">
      <w:pPr>
        <w:pStyle w:val="Numbered"/>
        <w:numPr>
          <w:ilvl w:val="1"/>
          <w:numId w:val="19"/>
        </w:numPr>
      </w:pPr>
      <w:r w:rsidRPr="005069AD">
        <w:t>The UK Code</w:t>
      </w:r>
      <w:r w:rsidR="00141601" w:rsidRPr="006C1380">
        <w:t xml:space="preserve"> was developed by Government following a market study and is mandatory for retailers above a £1 billion revenue threshold. </w:t>
      </w:r>
    </w:p>
    <w:p w14:paraId="65D9135E" w14:textId="5BBBEBA2" w:rsidR="002A5343" w:rsidRPr="005069AD" w:rsidRDefault="002A5343" w:rsidP="003F2198">
      <w:pPr>
        <w:pStyle w:val="Numbered"/>
        <w:numPr>
          <w:ilvl w:val="1"/>
          <w:numId w:val="19"/>
        </w:numPr>
      </w:pPr>
      <w:r w:rsidRPr="005069AD">
        <w:t xml:space="preserve">The Australian Code </w:t>
      </w:r>
      <w:r w:rsidR="00141601" w:rsidRPr="006C1380">
        <w:t>is more recent than the UK Code and considered the UK Code in its development. It is voluntary and was initially co-designed by industry, although it has been through a review and the Government made changes to it in 2020.</w:t>
      </w:r>
    </w:p>
    <w:p w14:paraId="342C0368" w14:textId="62303FB0" w:rsidR="007B3CC7" w:rsidRPr="007B3CC7" w:rsidRDefault="007B3CC7" w:rsidP="007B3CC7">
      <w:pPr>
        <w:pStyle w:val="Numbered"/>
        <w:numPr>
          <w:ilvl w:val="0"/>
          <w:numId w:val="0"/>
        </w:numPr>
        <w:rPr>
          <w:b/>
          <w:bCs/>
        </w:rPr>
      </w:pPr>
      <w:r>
        <w:rPr>
          <w:b/>
          <w:bCs/>
        </w:rPr>
        <w:t>How the policy options (in the different chapters) fit together</w:t>
      </w:r>
    </w:p>
    <w:p w14:paraId="5BEC7201" w14:textId="43A3CD78" w:rsidR="00141601" w:rsidRDefault="00141601" w:rsidP="006C1380">
      <w:pPr>
        <w:pStyle w:val="Numbered"/>
      </w:pPr>
      <w:r>
        <w:t>How the Chapters fit together to form the Code is as follows:</w:t>
      </w:r>
    </w:p>
    <w:p w14:paraId="18DE89C0" w14:textId="77777777" w:rsidR="00141601" w:rsidRDefault="00141601" w:rsidP="00141601">
      <w:pPr>
        <w:pStyle w:val="Numbered"/>
        <w:numPr>
          <w:ilvl w:val="0"/>
          <w:numId w:val="0"/>
        </w:numPr>
        <w:ind w:left="567" w:hanging="567"/>
      </w:pPr>
      <w:r>
        <w:rPr>
          <w:noProof/>
        </w:rPr>
        <mc:AlternateContent>
          <mc:Choice Requires="wps">
            <w:drawing>
              <wp:anchor distT="45720" distB="45720" distL="114300" distR="114300" simplePos="0" relativeHeight="251663360" behindDoc="0" locked="0" layoutInCell="1" allowOverlap="1" wp14:anchorId="2B7677AC" wp14:editId="7AD9D3FA">
                <wp:simplePos x="0" y="0"/>
                <wp:positionH relativeFrom="column">
                  <wp:posOffset>320445</wp:posOffset>
                </wp:positionH>
                <wp:positionV relativeFrom="paragraph">
                  <wp:posOffset>715687</wp:posOffset>
                </wp:positionV>
                <wp:extent cx="4982180" cy="1577591"/>
                <wp:effectExtent l="0" t="0" r="28575"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180" cy="1577591"/>
                        </a:xfrm>
                        <a:prstGeom prst="roundRect">
                          <a:avLst>
                            <a:gd name="adj" fmla="val 9659"/>
                          </a:avLst>
                        </a:prstGeom>
                        <a:solidFill>
                          <a:srgbClr val="FFFFFF">
                            <a:alpha val="40000"/>
                          </a:srgbClr>
                        </a:solidFill>
                        <a:ln w="19050">
                          <a:solidFill>
                            <a:schemeClr val="tx2"/>
                          </a:solidFill>
                          <a:miter lim="800000"/>
                          <a:headEnd/>
                          <a:tailEnd/>
                        </a:ln>
                      </wps:spPr>
                      <wps:txbx>
                        <w:txbxContent>
                          <w:p w14:paraId="054A49BF" w14:textId="77777777" w:rsidR="00141601" w:rsidRPr="005A05B0" w:rsidRDefault="00141601" w:rsidP="00141601">
                            <w:pPr>
                              <w:spacing w:after="0"/>
                              <w:jc w:val="center"/>
                              <w:rPr>
                                <w:b/>
                                <w:bCs/>
                              </w:rPr>
                            </w:pPr>
                            <w:r w:rsidRPr="005A05B0">
                              <w:rPr>
                                <w:b/>
                                <w:bCs/>
                              </w:rPr>
                              <w:t>Code of conduct</w:t>
                            </w:r>
                          </w:p>
                          <w:tbl>
                            <w:tblPr>
                              <w:tblStyle w:val="TableGrid"/>
                              <w:tblW w:w="7655" w:type="dxa"/>
                              <w:tblInd w:w="-142" w:type="dxa"/>
                              <w:tblBorders>
                                <w:top w:val="none" w:sz="0" w:space="0" w:color="auto"/>
                                <w:left w:val="none" w:sz="0" w:space="0" w:color="auto"/>
                                <w:bottom w:val="none" w:sz="0" w:space="0" w:color="auto"/>
                                <w:right w:val="none" w:sz="0" w:space="0" w:color="auto"/>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560"/>
                              <w:gridCol w:w="2268"/>
                              <w:gridCol w:w="2126"/>
                              <w:gridCol w:w="1701"/>
                            </w:tblGrid>
                            <w:tr w:rsidR="00141601" w:rsidRPr="005A05B0" w14:paraId="5E684D1A" w14:textId="77777777" w:rsidTr="001B1261">
                              <w:trPr>
                                <w:trHeight w:val="539"/>
                              </w:trPr>
                              <w:tc>
                                <w:tcPr>
                                  <w:tcW w:w="1560" w:type="dxa"/>
                                </w:tcPr>
                                <w:p w14:paraId="0DFBE7D3" w14:textId="77777777" w:rsidR="00141601" w:rsidRPr="005A05B0" w:rsidRDefault="00141601" w:rsidP="00BF7F4C">
                                  <w:pPr>
                                    <w:rPr>
                                      <w:sz w:val="16"/>
                                      <w:szCs w:val="16"/>
                                    </w:rPr>
                                  </w:pPr>
                                  <w:r w:rsidRPr="005A05B0">
                                    <w:rPr>
                                      <w:sz w:val="16"/>
                                      <w:szCs w:val="16"/>
                                    </w:rPr>
                                    <w:t>‘how to conduct yourself at all times’</w:t>
                                  </w:r>
                                </w:p>
                              </w:tc>
                              <w:tc>
                                <w:tcPr>
                                  <w:tcW w:w="6095" w:type="dxa"/>
                                  <w:gridSpan w:val="3"/>
                                </w:tcPr>
                                <w:p w14:paraId="13F94F6A" w14:textId="77777777" w:rsidR="00141601" w:rsidRPr="005A05B0" w:rsidRDefault="00141601" w:rsidP="007F292D">
                                  <w:pPr>
                                    <w:jc w:val="center"/>
                                    <w:rPr>
                                      <w:b/>
                                      <w:bCs/>
                                      <w:sz w:val="16"/>
                                      <w:szCs w:val="16"/>
                                    </w:rPr>
                                  </w:pPr>
                                  <w:r w:rsidRPr="005A05B0">
                                    <w:rPr>
                                      <w:sz w:val="16"/>
                                      <w:szCs w:val="16"/>
                                    </w:rPr>
                                    <w:t>Good faith / Fair dealing (obligation on ‘how’ retailer must conduct itself)</w:t>
                                  </w:r>
                                  <w:r w:rsidRPr="005A05B0">
                                    <w:rPr>
                                      <w:sz w:val="16"/>
                                      <w:szCs w:val="16"/>
                                    </w:rPr>
                                    <w:br/>
                                  </w:r>
                                  <w:r w:rsidRPr="005A05B0">
                                    <w:rPr>
                                      <w:b/>
                                      <w:bCs/>
                                      <w:sz w:val="16"/>
                                      <w:szCs w:val="16"/>
                                    </w:rPr>
                                    <w:t>Chapter 4</w:t>
                                  </w:r>
                                </w:p>
                              </w:tc>
                            </w:tr>
                            <w:tr w:rsidR="00141601" w:rsidRPr="005A05B0" w14:paraId="4BB0315A" w14:textId="77777777" w:rsidTr="001B1261">
                              <w:trPr>
                                <w:trHeight w:val="694"/>
                              </w:trPr>
                              <w:tc>
                                <w:tcPr>
                                  <w:tcW w:w="1560" w:type="dxa"/>
                                </w:tcPr>
                                <w:p w14:paraId="6262D61B" w14:textId="77777777" w:rsidR="00141601" w:rsidRPr="005A05B0" w:rsidRDefault="00141601" w:rsidP="00BF7F4C">
                                  <w:pPr>
                                    <w:rPr>
                                      <w:sz w:val="16"/>
                                      <w:szCs w:val="16"/>
                                    </w:rPr>
                                  </w:pPr>
                                  <w:r w:rsidRPr="005A05B0">
                                    <w:rPr>
                                      <w:sz w:val="16"/>
                                      <w:szCs w:val="16"/>
                                    </w:rPr>
                                    <w:t xml:space="preserve">Details </w:t>
                                  </w:r>
                                </w:p>
                                <w:p w14:paraId="04BCA6B9" w14:textId="04DB4297" w:rsidR="00141601" w:rsidRPr="005A05B0" w:rsidRDefault="00141601" w:rsidP="00BF7F4C">
                                  <w:pPr>
                                    <w:rPr>
                                      <w:sz w:val="16"/>
                                      <w:szCs w:val="16"/>
                                    </w:rPr>
                                  </w:pPr>
                                  <w:r w:rsidRPr="005A05B0">
                                    <w:rPr>
                                      <w:sz w:val="16"/>
                                      <w:szCs w:val="16"/>
                                    </w:rPr>
                                    <w:t xml:space="preserve">‘where interactions occur’ </w:t>
                                  </w:r>
                                  <w:r w:rsidR="001E6C8F">
                                    <w:rPr>
                                      <w:sz w:val="16"/>
                                      <w:szCs w:val="16"/>
                                    </w:rPr>
                                    <w:t>and the specific obligations in relation to those details</w:t>
                                  </w:r>
                                </w:p>
                              </w:tc>
                              <w:tc>
                                <w:tcPr>
                                  <w:tcW w:w="2268" w:type="dxa"/>
                                  <w:vAlign w:val="center"/>
                                </w:tcPr>
                                <w:p w14:paraId="21B576A9" w14:textId="77777777" w:rsidR="00141601" w:rsidRDefault="00141601" w:rsidP="00BF7F4C">
                                  <w:pPr>
                                    <w:jc w:val="center"/>
                                    <w:rPr>
                                      <w:sz w:val="16"/>
                                      <w:szCs w:val="16"/>
                                    </w:rPr>
                                  </w:pPr>
                                  <w:r w:rsidRPr="005A05B0">
                                    <w:rPr>
                                      <w:sz w:val="16"/>
                                      <w:szCs w:val="16"/>
                                    </w:rPr>
                                    <w:t>Terms of supply</w:t>
                                  </w:r>
                                </w:p>
                                <w:p w14:paraId="16A24EE0" w14:textId="77777777" w:rsidR="001E6C8F" w:rsidRDefault="001E6C8F" w:rsidP="00BF7F4C">
                                  <w:pPr>
                                    <w:jc w:val="center"/>
                                    <w:rPr>
                                      <w:sz w:val="16"/>
                                      <w:szCs w:val="16"/>
                                    </w:rPr>
                                  </w:pPr>
                                </w:p>
                                <w:p w14:paraId="5454C3AC" w14:textId="6773ECD1" w:rsidR="001E6C8F" w:rsidRPr="001E6C8F" w:rsidRDefault="001E6C8F" w:rsidP="00BF7F4C">
                                  <w:pPr>
                                    <w:jc w:val="center"/>
                                    <w:rPr>
                                      <w:b/>
                                      <w:bCs/>
                                      <w:sz w:val="16"/>
                                      <w:szCs w:val="16"/>
                                    </w:rPr>
                                  </w:pPr>
                                  <w:r>
                                    <w:rPr>
                                      <w:b/>
                                      <w:bCs/>
                                      <w:sz w:val="16"/>
                                      <w:szCs w:val="16"/>
                                    </w:rPr>
                                    <w:t>Chapters 5 &amp; 6</w:t>
                                  </w:r>
                                </w:p>
                              </w:tc>
                              <w:tc>
                                <w:tcPr>
                                  <w:tcW w:w="2126" w:type="dxa"/>
                                  <w:vAlign w:val="center"/>
                                </w:tcPr>
                                <w:p w14:paraId="6F6FF27D" w14:textId="77777777" w:rsidR="00141601" w:rsidRDefault="00141601" w:rsidP="00BF7F4C">
                                  <w:pPr>
                                    <w:jc w:val="center"/>
                                    <w:rPr>
                                      <w:sz w:val="16"/>
                                      <w:szCs w:val="16"/>
                                    </w:rPr>
                                  </w:pPr>
                                  <w:r w:rsidRPr="005A05B0">
                                    <w:rPr>
                                      <w:sz w:val="16"/>
                                      <w:szCs w:val="16"/>
                                    </w:rPr>
                                    <w:t>Financial matters</w:t>
                                  </w:r>
                                </w:p>
                                <w:p w14:paraId="5BC32363" w14:textId="77777777" w:rsidR="001E6C8F" w:rsidRDefault="001E6C8F" w:rsidP="00BF7F4C">
                                  <w:pPr>
                                    <w:jc w:val="center"/>
                                    <w:rPr>
                                      <w:sz w:val="16"/>
                                      <w:szCs w:val="16"/>
                                    </w:rPr>
                                  </w:pPr>
                                </w:p>
                                <w:p w14:paraId="52E38DBA" w14:textId="5CCF7670" w:rsidR="001E6C8F" w:rsidRPr="001E6C8F" w:rsidRDefault="001E6C8F" w:rsidP="00BF7F4C">
                                  <w:pPr>
                                    <w:jc w:val="center"/>
                                    <w:rPr>
                                      <w:b/>
                                      <w:bCs/>
                                      <w:sz w:val="16"/>
                                      <w:szCs w:val="16"/>
                                    </w:rPr>
                                  </w:pPr>
                                  <w:r>
                                    <w:rPr>
                                      <w:b/>
                                      <w:bCs/>
                                      <w:sz w:val="16"/>
                                      <w:szCs w:val="16"/>
                                    </w:rPr>
                                    <w:t>Chapters 5 &amp; 7</w:t>
                                  </w:r>
                                </w:p>
                              </w:tc>
                              <w:tc>
                                <w:tcPr>
                                  <w:tcW w:w="1701" w:type="dxa"/>
                                  <w:vAlign w:val="center"/>
                                </w:tcPr>
                                <w:p w14:paraId="7025F35D" w14:textId="77777777" w:rsidR="00141601" w:rsidRDefault="00141601" w:rsidP="00BF7F4C">
                                  <w:pPr>
                                    <w:jc w:val="center"/>
                                    <w:rPr>
                                      <w:sz w:val="16"/>
                                      <w:szCs w:val="16"/>
                                    </w:rPr>
                                  </w:pPr>
                                  <w:r w:rsidRPr="005A05B0">
                                    <w:rPr>
                                      <w:sz w:val="16"/>
                                      <w:szCs w:val="16"/>
                                    </w:rPr>
                                    <w:t>Promotions</w:t>
                                  </w:r>
                                </w:p>
                                <w:p w14:paraId="52469E0E" w14:textId="77777777" w:rsidR="001E6C8F" w:rsidRDefault="001E6C8F" w:rsidP="00BF7F4C">
                                  <w:pPr>
                                    <w:jc w:val="center"/>
                                    <w:rPr>
                                      <w:sz w:val="16"/>
                                      <w:szCs w:val="16"/>
                                    </w:rPr>
                                  </w:pPr>
                                </w:p>
                                <w:p w14:paraId="7EC0F627" w14:textId="0A70DFAD" w:rsidR="001E6C8F" w:rsidRPr="001E6C8F" w:rsidRDefault="001E6C8F" w:rsidP="00BF7F4C">
                                  <w:pPr>
                                    <w:jc w:val="center"/>
                                    <w:rPr>
                                      <w:b/>
                                      <w:bCs/>
                                      <w:sz w:val="16"/>
                                      <w:szCs w:val="16"/>
                                    </w:rPr>
                                  </w:pPr>
                                  <w:r>
                                    <w:rPr>
                                      <w:b/>
                                      <w:bCs/>
                                      <w:sz w:val="16"/>
                                      <w:szCs w:val="16"/>
                                    </w:rPr>
                                    <w:t>Chapter 7</w:t>
                                  </w:r>
                                </w:p>
                              </w:tc>
                            </w:tr>
                          </w:tbl>
                          <w:p w14:paraId="34DE02A1" w14:textId="77777777" w:rsidR="00141601" w:rsidRPr="005A05B0" w:rsidRDefault="00141601" w:rsidP="001416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B7677AC" id="Text Box 2" o:spid="_x0000_s1026" style="position:absolute;left:0;text-align:left;margin-left:25.25pt;margin-top:56.35pt;width:392.3pt;height:12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63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" strokecolor="#006272 [3215]" strokeweight="1.5pt">
                <v:fill opacity="26214f"/>
                <v:stroke joinstyle="miter"/>
                <v:textbox>
                  <w:txbxContent>
                    <w:p w14:paraId="054A49BF" w14:textId="77777777" w:rsidR="00141601" w:rsidRPr="005A05B0" w:rsidRDefault="00141601" w:rsidP="00141601">
                      <w:pPr>
                        <w:spacing w:after="0"/>
                        <w:jc w:val="center"/>
                        <w:rPr>
                          <w:b/>
                          <w:bCs/>
                        </w:rPr>
                      </w:pPr>
                      <w:r w:rsidRPr="005A05B0">
                        <w:rPr>
                          <w:b/>
                          <w:bCs/>
                        </w:rPr>
                        <w:t>Code of conduct</w:t>
                      </w:r>
                    </w:p>
                    <w:tbl>
                      <w:tblPr>
                        <w:tblStyle w:val="TableGrid"/>
                        <w:tblW w:w="7655" w:type="dxa"/>
                        <w:tblInd w:w="-142" w:type="dxa"/>
                        <w:tblBorders>
                          <w:top w:val="none" w:sz="0" w:space="0" w:color="auto"/>
                          <w:left w:val="none" w:sz="0" w:space="0" w:color="auto"/>
                          <w:bottom w:val="none" w:sz="0" w:space="0" w:color="auto"/>
                          <w:right w:val="none" w:sz="0" w:space="0" w:color="auto"/>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560"/>
                        <w:gridCol w:w="2268"/>
                        <w:gridCol w:w="2126"/>
                        <w:gridCol w:w="1701"/>
                      </w:tblGrid>
                      <w:tr w:rsidR="00141601" w:rsidRPr="005A05B0" w14:paraId="5E684D1A" w14:textId="77777777" w:rsidTr="001B1261">
                        <w:trPr>
                          <w:trHeight w:val="539"/>
                        </w:trPr>
                        <w:tc>
                          <w:tcPr>
                            <w:tcW w:w="1560" w:type="dxa"/>
                          </w:tcPr>
                          <w:p w14:paraId="0DFBE7D3" w14:textId="77777777" w:rsidR="00141601" w:rsidRPr="005A05B0" w:rsidRDefault="00141601" w:rsidP="00BF7F4C">
                            <w:pPr>
                              <w:rPr>
                                <w:sz w:val="16"/>
                                <w:szCs w:val="16"/>
                              </w:rPr>
                            </w:pPr>
                            <w:r w:rsidRPr="005A05B0">
                              <w:rPr>
                                <w:sz w:val="16"/>
                                <w:szCs w:val="16"/>
                              </w:rPr>
                              <w:t>‘how to conduct yourself at all times’</w:t>
                            </w:r>
                          </w:p>
                        </w:tc>
                        <w:tc>
                          <w:tcPr>
                            <w:tcW w:w="6095" w:type="dxa"/>
                            <w:gridSpan w:val="3"/>
                          </w:tcPr>
                          <w:p w14:paraId="13F94F6A" w14:textId="77777777" w:rsidR="00141601" w:rsidRPr="005A05B0" w:rsidRDefault="00141601" w:rsidP="007F292D">
                            <w:pPr>
                              <w:jc w:val="center"/>
                              <w:rPr>
                                <w:b/>
                                <w:bCs/>
                                <w:sz w:val="16"/>
                                <w:szCs w:val="16"/>
                              </w:rPr>
                            </w:pPr>
                            <w:r w:rsidRPr="005A05B0">
                              <w:rPr>
                                <w:sz w:val="16"/>
                                <w:szCs w:val="16"/>
                              </w:rPr>
                              <w:t>Good faith / Fair dealing (obligation on ‘how’ retailer must conduct itself)</w:t>
                            </w:r>
                            <w:r w:rsidRPr="005A05B0">
                              <w:rPr>
                                <w:sz w:val="16"/>
                                <w:szCs w:val="16"/>
                              </w:rPr>
                              <w:br/>
                            </w:r>
                            <w:r w:rsidRPr="005A05B0">
                              <w:rPr>
                                <w:b/>
                                <w:bCs/>
                                <w:sz w:val="16"/>
                                <w:szCs w:val="16"/>
                              </w:rPr>
                              <w:t>Chapter 4</w:t>
                            </w:r>
                          </w:p>
                        </w:tc>
                      </w:tr>
                      <w:tr w:rsidR="00141601" w:rsidRPr="005A05B0" w14:paraId="4BB0315A" w14:textId="77777777" w:rsidTr="001B1261">
                        <w:trPr>
                          <w:trHeight w:val="694"/>
                        </w:trPr>
                        <w:tc>
                          <w:tcPr>
                            <w:tcW w:w="1560" w:type="dxa"/>
                          </w:tcPr>
                          <w:p w14:paraId="6262D61B" w14:textId="77777777" w:rsidR="00141601" w:rsidRPr="005A05B0" w:rsidRDefault="00141601" w:rsidP="00BF7F4C">
                            <w:pPr>
                              <w:rPr>
                                <w:sz w:val="16"/>
                                <w:szCs w:val="16"/>
                              </w:rPr>
                            </w:pPr>
                            <w:r w:rsidRPr="005A05B0">
                              <w:rPr>
                                <w:sz w:val="16"/>
                                <w:szCs w:val="16"/>
                              </w:rPr>
                              <w:t xml:space="preserve">Details </w:t>
                            </w:r>
                          </w:p>
                          <w:p w14:paraId="04BCA6B9" w14:textId="04DB4297" w:rsidR="00141601" w:rsidRPr="005A05B0" w:rsidRDefault="00141601" w:rsidP="00BF7F4C">
                            <w:pPr>
                              <w:rPr>
                                <w:sz w:val="16"/>
                                <w:szCs w:val="16"/>
                              </w:rPr>
                            </w:pPr>
                            <w:r w:rsidRPr="005A05B0">
                              <w:rPr>
                                <w:sz w:val="16"/>
                                <w:szCs w:val="16"/>
                              </w:rPr>
                              <w:t xml:space="preserve">‘where interactions occur’ </w:t>
                            </w:r>
                            <w:r w:rsidR="001E6C8F">
                              <w:rPr>
                                <w:sz w:val="16"/>
                                <w:szCs w:val="16"/>
                              </w:rPr>
                              <w:t>and the specific obligations in relation to those details</w:t>
                            </w:r>
                          </w:p>
                        </w:tc>
                        <w:tc>
                          <w:tcPr>
                            <w:tcW w:w="2268" w:type="dxa"/>
                            <w:vAlign w:val="center"/>
                          </w:tcPr>
                          <w:p w14:paraId="21B576A9" w14:textId="77777777" w:rsidR="00141601" w:rsidRDefault="00141601" w:rsidP="00BF7F4C">
                            <w:pPr>
                              <w:jc w:val="center"/>
                              <w:rPr>
                                <w:sz w:val="16"/>
                                <w:szCs w:val="16"/>
                              </w:rPr>
                            </w:pPr>
                            <w:r w:rsidRPr="005A05B0">
                              <w:rPr>
                                <w:sz w:val="16"/>
                                <w:szCs w:val="16"/>
                              </w:rPr>
                              <w:t>Terms of supply</w:t>
                            </w:r>
                          </w:p>
                          <w:p w14:paraId="16A24EE0" w14:textId="77777777" w:rsidR="001E6C8F" w:rsidRDefault="001E6C8F" w:rsidP="00BF7F4C">
                            <w:pPr>
                              <w:jc w:val="center"/>
                              <w:rPr>
                                <w:sz w:val="16"/>
                                <w:szCs w:val="16"/>
                              </w:rPr>
                            </w:pPr>
                          </w:p>
                          <w:p w14:paraId="5454C3AC" w14:textId="6773ECD1" w:rsidR="001E6C8F" w:rsidRPr="001E6C8F" w:rsidRDefault="001E6C8F" w:rsidP="00BF7F4C">
                            <w:pPr>
                              <w:jc w:val="center"/>
                              <w:rPr>
                                <w:b/>
                                <w:bCs/>
                                <w:sz w:val="16"/>
                                <w:szCs w:val="16"/>
                              </w:rPr>
                            </w:pPr>
                            <w:r>
                              <w:rPr>
                                <w:b/>
                                <w:bCs/>
                                <w:sz w:val="16"/>
                                <w:szCs w:val="16"/>
                              </w:rPr>
                              <w:t>Chapters 5 &amp; 6</w:t>
                            </w:r>
                          </w:p>
                        </w:tc>
                        <w:tc>
                          <w:tcPr>
                            <w:tcW w:w="2126" w:type="dxa"/>
                            <w:vAlign w:val="center"/>
                          </w:tcPr>
                          <w:p w14:paraId="6F6FF27D" w14:textId="77777777" w:rsidR="00141601" w:rsidRDefault="00141601" w:rsidP="00BF7F4C">
                            <w:pPr>
                              <w:jc w:val="center"/>
                              <w:rPr>
                                <w:sz w:val="16"/>
                                <w:szCs w:val="16"/>
                              </w:rPr>
                            </w:pPr>
                            <w:r w:rsidRPr="005A05B0">
                              <w:rPr>
                                <w:sz w:val="16"/>
                                <w:szCs w:val="16"/>
                              </w:rPr>
                              <w:t>Financial matters</w:t>
                            </w:r>
                          </w:p>
                          <w:p w14:paraId="5BC32363" w14:textId="77777777" w:rsidR="001E6C8F" w:rsidRDefault="001E6C8F" w:rsidP="00BF7F4C">
                            <w:pPr>
                              <w:jc w:val="center"/>
                              <w:rPr>
                                <w:sz w:val="16"/>
                                <w:szCs w:val="16"/>
                              </w:rPr>
                            </w:pPr>
                          </w:p>
                          <w:p w14:paraId="52E38DBA" w14:textId="5CCF7670" w:rsidR="001E6C8F" w:rsidRPr="001E6C8F" w:rsidRDefault="001E6C8F" w:rsidP="00BF7F4C">
                            <w:pPr>
                              <w:jc w:val="center"/>
                              <w:rPr>
                                <w:b/>
                                <w:bCs/>
                                <w:sz w:val="16"/>
                                <w:szCs w:val="16"/>
                              </w:rPr>
                            </w:pPr>
                            <w:r>
                              <w:rPr>
                                <w:b/>
                                <w:bCs/>
                                <w:sz w:val="16"/>
                                <w:szCs w:val="16"/>
                              </w:rPr>
                              <w:t>Chapters 5 &amp; 7</w:t>
                            </w:r>
                          </w:p>
                        </w:tc>
                        <w:tc>
                          <w:tcPr>
                            <w:tcW w:w="1701" w:type="dxa"/>
                            <w:vAlign w:val="center"/>
                          </w:tcPr>
                          <w:p w14:paraId="7025F35D" w14:textId="77777777" w:rsidR="00141601" w:rsidRDefault="00141601" w:rsidP="00BF7F4C">
                            <w:pPr>
                              <w:jc w:val="center"/>
                              <w:rPr>
                                <w:sz w:val="16"/>
                                <w:szCs w:val="16"/>
                              </w:rPr>
                            </w:pPr>
                            <w:r w:rsidRPr="005A05B0">
                              <w:rPr>
                                <w:sz w:val="16"/>
                                <w:szCs w:val="16"/>
                              </w:rPr>
                              <w:t>Promotions</w:t>
                            </w:r>
                          </w:p>
                          <w:p w14:paraId="52469E0E" w14:textId="77777777" w:rsidR="001E6C8F" w:rsidRDefault="001E6C8F" w:rsidP="00BF7F4C">
                            <w:pPr>
                              <w:jc w:val="center"/>
                              <w:rPr>
                                <w:sz w:val="16"/>
                                <w:szCs w:val="16"/>
                              </w:rPr>
                            </w:pPr>
                          </w:p>
                          <w:p w14:paraId="7EC0F627" w14:textId="0A70DFAD" w:rsidR="001E6C8F" w:rsidRPr="001E6C8F" w:rsidRDefault="001E6C8F" w:rsidP="00BF7F4C">
                            <w:pPr>
                              <w:jc w:val="center"/>
                              <w:rPr>
                                <w:b/>
                                <w:bCs/>
                                <w:sz w:val="16"/>
                                <w:szCs w:val="16"/>
                              </w:rPr>
                            </w:pPr>
                            <w:r>
                              <w:rPr>
                                <w:b/>
                                <w:bCs/>
                                <w:sz w:val="16"/>
                                <w:szCs w:val="16"/>
                              </w:rPr>
                              <w:t>Chapter 7</w:t>
                            </w:r>
                          </w:p>
                        </w:tc>
                      </w:tr>
                    </w:tbl>
                    <w:p w14:paraId="34DE02A1" w14:textId="77777777" w:rsidR="00141601" w:rsidRPr="005A05B0" w:rsidRDefault="00141601" w:rsidP="00141601"/>
                  </w:txbxContent>
                </v:textbox>
              </v:roundrect>
            </w:pict>
          </mc:Fallback>
        </mc:AlternateContent>
      </w:r>
      <w:r>
        <w:rPr>
          <w:noProof/>
        </w:rPr>
        <w:drawing>
          <wp:inline distT="0" distB="0" distL="0" distR="0" wp14:anchorId="11A61D80" wp14:editId="75511EF9">
            <wp:extent cx="5486400" cy="3012141"/>
            <wp:effectExtent l="0" t="0" r="0" b="3619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0D1A39E" w14:textId="372A92DC" w:rsidR="007B3CC7" w:rsidRPr="005069AD" w:rsidRDefault="007B3CC7" w:rsidP="007B3CC7">
      <w:pPr>
        <w:pStyle w:val="Numbered"/>
      </w:pPr>
      <w:r w:rsidRPr="005069AD">
        <w:t>Options 1</w:t>
      </w:r>
      <w:r w:rsidR="001E6C8F">
        <w:t xml:space="preserve">, 2, and </w:t>
      </w:r>
      <w:r w:rsidRPr="005069AD">
        <w:t xml:space="preserve">3 are generally designed to be mutually exclusive and to present a single whole option covering the content in chapters 4 – 7, which deal with the main components of the Code (refer to the diagram </w:t>
      </w:r>
      <w:r>
        <w:t>above</w:t>
      </w:r>
      <w:r w:rsidRPr="005069AD">
        <w:t xml:space="preserve"> to see how the different parts fit together). However, minor tweaks can be made to the options </w:t>
      </w:r>
      <w:r w:rsidR="001E6C8F" w:rsidRPr="005069AD">
        <w:t>–</w:t>
      </w:r>
      <w:r w:rsidRPr="005069AD">
        <w:t xml:space="preserve"> adjusting what conduct they limit and how – to cater to the grocery industry in New Zealand</w:t>
      </w:r>
    </w:p>
    <w:p w14:paraId="0A1C5B01" w14:textId="6134B4CE" w:rsidR="000D2E8D" w:rsidRDefault="007B3CC7" w:rsidP="007B3CC7">
      <w:pPr>
        <w:pStyle w:val="Numbered"/>
      </w:pPr>
      <w:r>
        <w:t xml:space="preserve">The options presented in Chapters 3 and 8 </w:t>
      </w:r>
      <w:r w:rsidR="001E6C8F">
        <w:t xml:space="preserve">are </w:t>
      </w:r>
      <w:r w:rsidRPr="007B3CC7">
        <w:t>somewhat separate from the rest of the paper.</w:t>
      </w:r>
      <w:r>
        <w:t xml:space="preserve"> </w:t>
      </w:r>
      <w:r w:rsidR="001E6C8F">
        <w:t>C</w:t>
      </w:r>
      <w:r>
        <w:t xml:space="preserve">hapter 3 relates to which retailers are bound by the Code and Chapter 8 relates to the </w:t>
      </w:r>
      <w:r>
        <w:lastRenderedPageBreak/>
        <w:t xml:space="preserve">dispute resolution mechanism that is provided for any issues arising in relation to the Code. To reflect this difference, the options </w:t>
      </w:r>
      <w:r w:rsidR="001E6C8F">
        <w:t>in</w:t>
      </w:r>
      <w:r>
        <w:t xml:space="preserve"> Chapters 3 and 8 are named differently (Options A-C). </w:t>
      </w:r>
    </w:p>
    <w:p w14:paraId="757EA582" w14:textId="3E092837" w:rsidR="007B3CC7" w:rsidRDefault="000D2E8D" w:rsidP="007B3CC7">
      <w:pPr>
        <w:pStyle w:val="Numbered"/>
      </w:pPr>
      <w:r>
        <w:t xml:space="preserve">In creating a complete Code of Conduct, the options from Chapters 3, 4-7, and 8 can be paired together in </w:t>
      </w:r>
      <w:r w:rsidR="009E15DB">
        <w:t xml:space="preserve">several </w:t>
      </w:r>
      <w:r>
        <w:t>different ways</w:t>
      </w:r>
      <w:r w:rsidR="009E15DB">
        <w:t>.</w:t>
      </w:r>
      <w:r>
        <w:t xml:space="preserve"> </w:t>
      </w:r>
      <w:r w:rsidR="009E15DB">
        <w:t>F</w:t>
      </w:r>
      <w:r w:rsidR="007B3CC7">
        <w:t>or example</w:t>
      </w:r>
      <w:r w:rsidR="009E15DB">
        <w:t>,</w:t>
      </w:r>
      <w:r w:rsidR="007B3CC7">
        <w:t xml:space="preserve"> Option A (in Chapter 3) could be paired with Option 2 (from Chapters 4-7) and Option C (in Chapter 8). </w:t>
      </w:r>
      <w:r>
        <w:t>Alternatively, Option C (Chapter 3) could be paired with Option 1 (Chapters 4-7) and Option B (Chapter 8).</w:t>
      </w:r>
      <w:r>
        <w:rPr>
          <w:rStyle w:val="FootnoteReference"/>
        </w:rPr>
        <w:footnoteReference w:id="8"/>
      </w:r>
      <w:r>
        <w:t xml:space="preserve"> </w:t>
      </w:r>
    </w:p>
    <w:p w14:paraId="0058969C" w14:textId="75F7E9EB" w:rsidR="001E6C8F" w:rsidRDefault="00861D0E" w:rsidP="007B3CC7">
      <w:pPr>
        <w:pStyle w:val="Numbered"/>
      </w:pPr>
      <w:r>
        <w:t>Reading the</w:t>
      </w:r>
      <w:r w:rsidR="001E6C8F">
        <w:t xml:space="preserve"> preliminary </w:t>
      </w:r>
      <w:r>
        <w:t xml:space="preserve">analysis throughout the paper </w:t>
      </w:r>
      <w:r w:rsidR="001E6C8F">
        <w:t xml:space="preserve">may appear to </w:t>
      </w:r>
      <w:r>
        <w:t xml:space="preserve">provide an initial </w:t>
      </w:r>
      <w:r w:rsidR="001E6C8F">
        <w:t>preferred option for the Code</w:t>
      </w:r>
      <w:r>
        <w:t>. MBIE has not undertaken holistic analysis to determine a preferred option for the Code at this time. The preliminary analysis is provided so that it can be improved by feedback.</w:t>
      </w:r>
    </w:p>
    <w:p w14:paraId="42D5E245" w14:textId="5F8EAEA8" w:rsidR="00633746" w:rsidRDefault="00633746" w:rsidP="007B3CC7">
      <w:pPr>
        <w:pStyle w:val="Numbered"/>
      </w:pPr>
      <w:r>
        <w:t xml:space="preserve">Additionally, we note that the options developed in this paper may change depending on the feedback that is received through consultation. </w:t>
      </w:r>
    </w:p>
    <w:p w14:paraId="19C73E4B" w14:textId="1D2852C5" w:rsidR="004F35CC" w:rsidRDefault="00141601" w:rsidP="00D6326D">
      <w:pPr>
        <w:pStyle w:val="Heading2"/>
        <w:tabs>
          <w:tab w:val="left" w:pos="567"/>
        </w:tabs>
      </w:pPr>
      <w:bookmarkStart w:id="63" w:name="_Toc104358637"/>
      <w:bookmarkStart w:id="64" w:name="_Toc107919621"/>
      <w:bookmarkEnd w:id="62"/>
      <w:r>
        <w:t>2.5</w:t>
      </w:r>
      <w:r w:rsidR="00D6326D">
        <w:tab/>
      </w:r>
      <w:r w:rsidR="004F35CC">
        <w:t>Consultation questions</w:t>
      </w:r>
      <w:bookmarkEnd w:id="63"/>
      <w:bookmarkEnd w:id="64"/>
    </w:p>
    <w:tbl>
      <w:tblPr>
        <w:tblStyle w:val="TableGrid"/>
        <w:tblW w:w="9070"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CellMar>
          <w:top w:w="57" w:type="dxa"/>
          <w:bottom w:w="57" w:type="dxa"/>
        </w:tblCellMar>
        <w:tblLook w:val="0600" w:firstRow="0" w:lastRow="0" w:firstColumn="0" w:lastColumn="0" w:noHBand="1" w:noVBand="1"/>
      </w:tblPr>
      <w:tblGrid>
        <w:gridCol w:w="531"/>
        <w:gridCol w:w="8539"/>
      </w:tblGrid>
      <w:tr w:rsidR="004F35CC" w:rsidRPr="00133B22" w14:paraId="15616146" w14:textId="77777777" w:rsidTr="005509A4">
        <w:trPr>
          <w:cantSplit/>
        </w:trPr>
        <w:tc>
          <w:tcPr>
            <w:tcW w:w="531" w:type="dxa"/>
            <w:shd w:val="clear" w:color="auto" w:fill="006272"/>
            <w:vAlign w:val="center"/>
          </w:tcPr>
          <w:p w14:paraId="0BAD7800" w14:textId="77777777" w:rsidR="004F35CC" w:rsidRPr="00133B22" w:rsidRDefault="004F35CC" w:rsidP="005509A4">
            <w:pPr>
              <w:pStyle w:val="Questionnumber"/>
            </w:pPr>
          </w:p>
        </w:tc>
        <w:tc>
          <w:tcPr>
            <w:tcW w:w="8539" w:type="dxa"/>
            <w:shd w:val="clear" w:color="auto" w:fill="B3D0D5"/>
            <w:vAlign w:val="center"/>
          </w:tcPr>
          <w:p w14:paraId="3C44D210" w14:textId="7C242569" w:rsidR="00141601" w:rsidRDefault="004F35CC" w:rsidP="005509A4">
            <w:pPr>
              <w:pStyle w:val="Numbered"/>
              <w:numPr>
                <w:ilvl w:val="0"/>
                <w:numId w:val="0"/>
              </w:numPr>
              <w:spacing w:before="0"/>
            </w:pPr>
            <w:r>
              <w:t xml:space="preserve">Do you have any comments </w:t>
            </w:r>
            <w:r w:rsidR="00F36E69">
              <w:t xml:space="preserve">in relation to </w:t>
            </w:r>
            <w:r w:rsidR="00F36E69" w:rsidRPr="00F81331">
              <w:rPr>
                <w:b/>
                <w:bCs/>
              </w:rPr>
              <w:t xml:space="preserve">Chapter </w:t>
            </w:r>
            <w:r w:rsidR="00F81331" w:rsidRPr="00F81331">
              <w:rPr>
                <w:b/>
                <w:bCs/>
              </w:rPr>
              <w:t>2</w:t>
            </w:r>
            <w:r w:rsidR="00F36E69">
              <w:t xml:space="preserve">, in particular any comments </w:t>
            </w:r>
            <w:r>
              <w:t>on</w:t>
            </w:r>
            <w:r w:rsidR="00141601">
              <w:t>:</w:t>
            </w:r>
          </w:p>
          <w:p w14:paraId="263D80C6" w14:textId="3A1028E0" w:rsidR="00141601" w:rsidRDefault="004F35CC" w:rsidP="003F2198">
            <w:pPr>
              <w:pStyle w:val="Numbered"/>
              <w:numPr>
                <w:ilvl w:val="0"/>
                <w:numId w:val="18"/>
              </w:numPr>
              <w:spacing w:before="0"/>
            </w:pPr>
            <w:r>
              <w:t xml:space="preserve">the objectives </w:t>
            </w:r>
            <w:r w:rsidR="00141601">
              <w:t>(section 2.2)?</w:t>
            </w:r>
          </w:p>
          <w:p w14:paraId="18E146AF" w14:textId="42827F33" w:rsidR="00141601" w:rsidRDefault="00F36E69" w:rsidP="00861D0E">
            <w:pPr>
              <w:pStyle w:val="Numbered"/>
              <w:numPr>
                <w:ilvl w:val="0"/>
                <w:numId w:val="18"/>
              </w:numPr>
              <w:spacing w:before="0"/>
            </w:pPr>
            <w:r>
              <w:t xml:space="preserve">evaluation </w:t>
            </w:r>
            <w:r w:rsidR="004F35CC">
              <w:t xml:space="preserve">criteria </w:t>
            </w:r>
            <w:r w:rsidR="003447E3">
              <w:t xml:space="preserve">for the Code </w:t>
            </w:r>
            <w:r w:rsidR="00141601">
              <w:t>(</w:t>
            </w:r>
            <w:r w:rsidR="004F35CC">
              <w:t>section</w:t>
            </w:r>
            <w:r w:rsidR="00141601">
              <w:t xml:space="preserve"> 2.3)?</w:t>
            </w:r>
          </w:p>
        </w:tc>
      </w:tr>
    </w:tbl>
    <w:p w14:paraId="285697F2" w14:textId="22AC360F" w:rsidR="004F0BDD" w:rsidRDefault="004F0BDD" w:rsidP="004F0BDD">
      <w:pPr>
        <w:pStyle w:val="Numbered"/>
        <w:numPr>
          <w:ilvl w:val="0"/>
          <w:numId w:val="0"/>
        </w:numPr>
        <w:ind w:left="567"/>
      </w:pPr>
    </w:p>
    <w:p w14:paraId="43A2B052" w14:textId="77777777" w:rsidR="004F0BDD" w:rsidRDefault="004F0BDD">
      <w:r>
        <w:br w:type="page"/>
      </w:r>
    </w:p>
    <w:p w14:paraId="1F55B1A8" w14:textId="77777777" w:rsidR="00B530DC" w:rsidRDefault="00B530DC" w:rsidP="00B530DC">
      <w:pPr>
        <w:pStyle w:val="Heading1"/>
      </w:pPr>
      <w:bookmarkStart w:id="65" w:name="_Toc103173687"/>
      <w:bookmarkStart w:id="66" w:name="_Toc104358642"/>
      <w:bookmarkStart w:id="67" w:name="_Toc107919622"/>
      <w:bookmarkStart w:id="68" w:name="_Hlk103325816"/>
      <w:bookmarkStart w:id="69" w:name="_Hlk103326002"/>
      <w:bookmarkStart w:id="70" w:name="_Toc103173683"/>
      <w:bookmarkStart w:id="71" w:name="_Hlk99695960"/>
      <w:bookmarkStart w:id="72" w:name="_Hlk100148067"/>
      <w:r>
        <w:lastRenderedPageBreak/>
        <w:t>Which retailers should be bound by the Code?</w:t>
      </w:r>
      <w:bookmarkEnd w:id="65"/>
      <w:bookmarkEnd w:id="66"/>
      <w:bookmarkEnd w:id="67"/>
    </w:p>
    <w:bookmarkEnd w:id="68"/>
    <w:p w14:paraId="358D4BEE" w14:textId="77777777" w:rsidR="00B530DC" w:rsidRDefault="00B530DC" w:rsidP="00B530DC">
      <w:pPr>
        <w:pStyle w:val="LineTeal"/>
      </w:pPr>
    </w:p>
    <w:p w14:paraId="08A6B165" w14:textId="08C9E1FF" w:rsidR="00B530DC" w:rsidRDefault="00B530DC" w:rsidP="00D6326D">
      <w:pPr>
        <w:pStyle w:val="Heading2"/>
        <w:tabs>
          <w:tab w:val="left" w:pos="567"/>
        </w:tabs>
      </w:pPr>
      <w:bookmarkStart w:id="73" w:name="_Toc103173688"/>
      <w:bookmarkStart w:id="74" w:name="_Toc104358643"/>
      <w:bookmarkStart w:id="75" w:name="_Toc107919623"/>
      <w:r>
        <w:t>3.1</w:t>
      </w:r>
      <w:r w:rsidR="00D6326D">
        <w:tab/>
      </w:r>
      <w:r>
        <w:t>Approach to this issue</w:t>
      </w:r>
      <w:bookmarkEnd w:id="73"/>
      <w:bookmarkEnd w:id="74"/>
      <w:bookmarkEnd w:id="75"/>
    </w:p>
    <w:p w14:paraId="7DF0318D" w14:textId="690FCB8D" w:rsidR="00B530DC" w:rsidRDefault="00B530DC" w:rsidP="00B530DC">
      <w:pPr>
        <w:pStyle w:val="Numbered"/>
      </w:pPr>
      <w:r>
        <w:t xml:space="preserve">This chapter considers which </w:t>
      </w:r>
      <w:r w:rsidR="008A39A0">
        <w:t xml:space="preserve">grocery retailers </w:t>
      </w:r>
      <w:r>
        <w:t xml:space="preserve">should be bound by the Code. It starts with the Commission’s </w:t>
      </w:r>
      <w:r w:rsidR="00E067E5">
        <w:t>recommendation</w:t>
      </w:r>
      <w:r>
        <w:t xml:space="preserve"> that the</w:t>
      </w:r>
      <w:r w:rsidR="008A39A0">
        <w:t xml:space="preserve"> Code b</w:t>
      </w:r>
      <w:r w:rsidR="00390F1A">
        <w:t>e</w:t>
      </w:r>
      <w:r w:rsidR="008A39A0">
        <w:t xml:space="preserve"> mandatory for the</w:t>
      </w:r>
      <w:r>
        <w:t xml:space="preserve"> major grocery retailer</w:t>
      </w:r>
      <w:r w:rsidR="00861D0E">
        <w:t>s</w:t>
      </w:r>
      <w:r>
        <w:t xml:space="preserve"> </w:t>
      </w:r>
      <w:r w:rsidR="0002572A">
        <w:t>then</w:t>
      </w:r>
      <w:r w:rsidR="00390F1A">
        <w:t xml:space="preserve"> also considers</w:t>
      </w:r>
      <w:r>
        <w:t xml:space="preserve"> the method of ‘designating’ retailers</w:t>
      </w:r>
      <w:r w:rsidR="00390F1A">
        <w:t xml:space="preserve"> under the Code </w:t>
      </w:r>
      <w:r w:rsidR="0002572A">
        <w:t xml:space="preserve">(now and </w:t>
      </w:r>
      <w:r w:rsidR="00390F1A">
        <w:t>in the future</w:t>
      </w:r>
      <w:r w:rsidR="0002572A">
        <w:t>), it ends by considering how designated retailers will be regulated by the Code</w:t>
      </w:r>
      <w:r>
        <w:t xml:space="preserve">. </w:t>
      </w:r>
    </w:p>
    <w:p w14:paraId="4A3B53CB" w14:textId="27BDCD62" w:rsidR="00B530DC" w:rsidRDefault="00390F1A" w:rsidP="00861D0E">
      <w:pPr>
        <w:pStyle w:val="Numbered"/>
        <w:numPr>
          <w:ilvl w:val="0"/>
          <w:numId w:val="19"/>
        </w:numPr>
      </w:pPr>
      <w:r>
        <w:t>The</w:t>
      </w:r>
      <w:r w:rsidR="00B530DC">
        <w:t xml:space="preserve"> major grocery retailers</w:t>
      </w:r>
      <w:r w:rsidR="00C60CAF">
        <w:t xml:space="preserve"> have a combined market share of </w:t>
      </w:r>
      <w:r>
        <w:t>around 80-</w:t>
      </w:r>
      <w:r w:rsidR="00C60CAF">
        <w:t>90%</w:t>
      </w:r>
      <w:r w:rsidR="00861D0E">
        <w:t xml:space="preserve"> of the retail grocery market</w:t>
      </w:r>
      <w:r w:rsidR="00B530DC">
        <w:t>:</w:t>
      </w:r>
    </w:p>
    <w:p w14:paraId="582AAF1E" w14:textId="77777777" w:rsidR="00861D0E" w:rsidRDefault="00861D0E" w:rsidP="00861D0E">
      <w:pPr>
        <w:pStyle w:val="Numbered"/>
        <w:numPr>
          <w:ilvl w:val="1"/>
          <w:numId w:val="20"/>
        </w:numPr>
      </w:pPr>
      <w:r>
        <w:t>Foodstuffs North Island and Foodstuffs South Island are cooperatives. Their retail stores – PAK’nSAVE, New World, Four Square, Raeward Fresh, and On the Spot – are all owner-operated</w:t>
      </w:r>
      <w:r w:rsidRPr="00C8092C">
        <w:t xml:space="preserve"> </w:t>
      </w:r>
      <w:r>
        <w:t>members of one or the other cooperative (with franchisee agreements), depending on their geographical location.</w:t>
      </w:r>
    </w:p>
    <w:p w14:paraId="610A6A1D" w14:textId="2071E7AF" w:rsidR="00B530DC" w:rsidRDefault="00B530DC" w:rsidP="00861D0E">
      <w:pPr>
        <w:pStyle w:val="Numbered"/>
        <w:numPr>
          <w:ilvl w:val="1"/>
          <w:numId w:val="20"/>
        </w:numPr>
      </w:pPr>
      <w:r>
        <w:t>Woolworths NZ</w:t>
      </w:r>
      <w:r w:rsidR="00684DE3">
        <w:t xml:space="preserve">, which owns </w:t>
      </w:r>
      <w:r>
        <w:t xml:space="preserve">the Countdown retail brand, and </w:t>
      </w:r>
      <w:r w:rsidR="00D90A79">
        <w:t xml:space="preserve">through its subsidiary, Wholesale Distributors, </w:t>
      </w:r>
      <w:r w:rsidR="00684DE3">
        <w:t>is</w:t>
      </w:r>
      <w:r>
        <w:t xml:space="preserve"> </w:t>
      </w:r>
      <w:r w:rsidR="00D90A79">
        <w:t>the</w:t>
      </w:r>
      <w:r w:rsidR="00684DE3">
        <w:t xml:space="preserve"> </w:t>
      </w:r>
      <w:r>
        <w:t>franchis</w:t>
      </w:r>
      <w:r w:rsidR="00D90A79">
        <w:t>or</w:t>
      </w:r>
      <w:r>
        <w:t xml:space="preserve"> </w:t>
      </w:r>
      <w:r w:rsidR="00684DE3">
        <w:t xml:space="preserve">of </w:t>
      </w:r>
      <w:r>
        <w:t>SuperValue and FreshChoice.</w:t>
      </w:r>
    </w:p>
    <w:p w14:paraId="77775E8D" w14:textId="64A28520" w:rsidR="00B530DC" w:rsidRPr="00387CDD" w:rsidRDefault="00390F1A" w:rsidP="00861D0E">
      <w:pPr>
        <w:pStyle w:val="Numbered"/>
        <w:numPr>
          <w:ilvl w:val="0"/>
          <w:numId w:val="19"/>
        </w:numPr>
      </w:pPr>
      <w:r>
        <w:t>O</w:t>
      </w:r>
      <w:r w:rsidR="00B530DC">
        <w:t>t</w:t>
      </w:r>
      <w:r w:rsidR="00B530DC" w:rsidRPr="00387CDD">
        <w:t xml:space="preserve">her </w:t>
      </w:r>
      <w:r w:rsidR="00684DE3">
        <w:t xml:space="preserve">grocery </w:t>
      </w:r>
      <w:r w:rsidR="00B530DC" w:rsidRPr="00387CDD">
        <w:t>retailers</w:t>
      </w:r>
      <w:r w:rsidR="00861D0E">
        <w:t xml:space="preserve"> make up the remainder of the market. This category </w:t>
      </w:r>
      <w:r w:rsidR="00B530DC">
        <w:t>includ</w:t>
      </w:r>
      <w:r>
        <w:t>es</w:t>
      </w:r>
      <w:r w:rsidR="00B530DC">
        <w:t xml:space="preserve"> </w:t>
      </w:r>
      <w:r w:rsidR="00B530DC" w:rsidRPr="00387CDD">
        <w:t>online-only retailers, convenience stores, corner dairies, and specialist grocery stores</w:t>
      </w:r>
      <w:r w:rsidR="006B3408">
        <w:t xml:space="preserve"> (eg Supie, Night ‘n Day, dairies, convenience stores, etc)</w:t>
      </w:r>
      <w:r>
        <w:t>. As indicated by the combined market share of the major grocery retailers, t</w:t>
      </w:r>
      <w:r w:rsidR="00B530DC">
        <w:t xml:space="preserve">hese </w:t>
      </w:r>
      <w:r>
        <w:t xml:space="preserve">retailers </w:t>
      </w:r>
      <w:r w:rsidR="00B530DC">
        <w:t>make up a relatively small proportion of the retail grocery market.</w:t>
      </w:r>
    </w:p>
    <w:p w14:paraId="5D6E09FB" w14:textId="2632C0A3" w:rsidR="00B530DC" w:rsidRDefault="00760E71" w:rsidP="00D6326D">
      <w:pPr>
        <w:pStyle w:val="Heading2"/>
        <w:tabs>
          <w:tab w:val="left" w:pos="567"/>
        </w:tabs>
      </w:pPr>
      <w:bookmarkStart w:id="76" w:name="_Toc103173689"/>
      <w:bookmarkStart w:id="77" w:name="_Toc104358644"/>
      <w:bookmarkStart w:id="78" w:name="_Toc107919624"/>
      <w:r>
        <w:t>3.2</w:t>
      </w:r>
      <w:r w:rsidR="00D6326D">
        <w:tab/>
      </w:r>
      <w:r w:rsidR="00B530DC">
        <w:t>Who will be required to comply with the Code?</w:t>
      </w:r>
      <w:bookmarkEnd w:id="76"/>
      <w:bookmarkEnd w:id="77"/>
      <w:bookmarkEnd w:id="78"/>
      <w:r w:rsidR="00B530DC">
        <w:t xml:space="preserve"> </w:t>
      </w:r>
    </w:p>
    <w:p w14:paraId="6A7F27F9" w14:textId="3DFAB267" w:rsidR="00B530DC" w:rsidRDefault="00390F1A" w:rsidP="00B530DC">
      <w:pPr>
        <w:pStyle w:val="Numbered"/>
      </w:pPr>
      <w:r>
        <w:t>In its report, t</w:t>
      </w:r>
      <w:r w:rsidR="00B530DC">
        <w:t>he Commission recommend</w:t>
      </w:r>
      <w:r>
        <w:t>ed</w:t>
      </w:r>
      <w:r w:rsidR="00B530DC">
        <w:t xml:space="preserve"> creating a </w:t>
      </w:r>
      <w:r>
        <w:t xml:space="preserve">mandatory </w:t>
      </w:r>
      <w:r w:rsidR="00B530DC">
        <w:t xml:space="preserve">Code to govern relationships between the major grocery retailers and their suppliers. This is because it is the major grocery retailers who are most likely to have an advantage over their suppliers </w:t>
      </w:r>
      <w:r w:rsidR="00AE73F9">
        <w:t>in terms of their bargaining power</w:t>
      </w:r>
      <w:r w:rsidR="006B3408">
        <w:t xml:space="preserve"> (refer to paragraph </w:t>
      </w:r>
      <w:r w:rsidR="006B3408">
        <w:fldChar w:fldCharType="begin"/>
      </w:r>
      <w:r w:rsidR="006B3408">
        <w:instrText xml:space="preserve"> REF _Ref105145606 \r \h </w:instrText>
      </w:r>
      <w:r w:rsidR="006B3408">
        <w:fldChar w:fldCharType="separate"/>
      </w:r>
      <w:r w:rsidR="008D0C1F">
        <w:t>6</w:t>
      </w:r>
      <w:r w:rsidR="006B3408">
        <w:fldChar w:fldCharType="end"/>
      </w:r>
      <w:r w:rsidR="006B3408">
        <w:t>)</w:t>
      </w:r>
      <w:r w:rsidR="00B530DC">
        <w:t xml:space="preserve">. </w:t>
      </w:r>
    </w:p>
    <w:p w14:paraId="09B1A24C" w14:textId="2F99CA15" w:rsidR="00B530DC" w:rsidRDefault="00B530DC" w:rsidP="008B4804">
      <w:pPr>
        <w:pStyle w:val="Numbered"/>
      </w:pPr>
      <w:r>
        <w:t xml:space="preserve">The Commission </w:t>
      </w:r>
      <w:r w:rsidR="00390F1A">
        <w:t xml:space="preserve">did </w:t>
      </w:r>
      <w:r>
        <w:t xml:space="preserve">not </w:t>
      </w:r>
      <w:r w:rsidR="004F6A76">
        <w:t>recommend</w:t>
      </w:r>
      <w:r>
        <w:t xml:space="preserve"> that other grocery retailers or </w:t>
      </w:r>
      <w:r w:rsidR="00920AB3">
        <w:t xml:space="preserve">other </w:t>
      </w:r>
      <w:r>
        <w:t xml:space="preserve">retailers that </w:t>
      </w:r>
      <w:r w:rsidR="00920AB3">
        <w:t xml:space="preserve">provide some </w:t>
      </w:r>
      <w:r>
        <w:t xml:space="preserve">grocery </w:t>
      </w:r>
      <w:r w:rsidR="00920AB3">
        <w:t xml:space="preserve">items </w:t>
      </w:r>
      <w:r>
        <w:t>(</w:t>
      </w:r>
      <w:r w:rsidR="00424712">
        <w:t>eg</w:t>
      </w:r>
      <w:r>
        <w:t xml:space="preserve"> Chemist Warehouse, The Warehouse, pet food stores</w:t>
      </w:r>
      <w:r w:rsidR="004B5574">
        <w:t>, etc</w:t>
      </w:r>
      <w:r>
        <w:t>) should be required to comply with a Code</w:t>
      </w:r>
      <w:r w:rsidR="00684DE3">
        <w:t xml:space="preserve"> at this time</w:t>
      </w:r>
      <w:r>
        <w:t>.</w:t>
      </w:r>
      <w:r w:rsidR="00684DE3">
        <w:t xml:space="preserve"> </w:t>
      </w:r>
      <w:r w:rsidR="004B5574">
        <w:t>The Commission did, however, recommend that the Code should apply to other grocery retailers at the time they develop substantial bargaining power over their suppliers.</w:t>
      </w:r>
      <w:r w:rsidR="00684DE3">
        <w:rPr>
          <w:rStyle w:val="FootnoteReference"/>
        </w:rPr>
        <w:footnoteReference w:id="9"/>
      </w:r>
    </w:p>
    <w:p w14:paraId="03E7E43E" w14:textId="4A200B79" w:rsidR="004B5574" w:rsidRDefault="00B530DC" w:rsidP="000A2EC5">
      <w:pPr>
        <w:pStyle w:val="Numbered"/>
      </w:pPr>
      <w:r>
        <w:t xml:space="preserve">The Commission </w:t>
      </w:r>
      <w:r w:rsidR="004B5574">
        <w:t xml:space="preserve">also </w:t>
      </w:r>
      <w:r>
        <w:t xml:space="preserve">recommended that the Code </w:t>
      </w:r>
      <w:r w:rsidR="003155AD">
        <w:t xml:space="preserve">should </w:t>
      </w:r>
      <w:r>
        <w:t xml:space="preserve">apply to the major grocery retailers in their interactions with all </w:t>
      </w:r>
      <w:r w:rsidR="004B5574">
        <w:t xml:space="preserve">of their </w:t>
      </w:r>
      <w:r>
        <w:t>suppliers</w:t>
      </w:r>
      <w:r w:rsidR="00E4798D">
        <w:t xml:space="preserve"> (domestic and international)</w:t>
      </w:r>
      <w:r>
        <w:t xml:space="preserve">. </w:t>
      </w:r>
      <w:r w:rsidR="00920AB3">
        <w:t xml:space="preserve">Any retailers designated under the Code will not </w:t>
      </w:r>
      <w:r>
        <w:t xml:space="preserve">be exempt from the Code in their dealings with any </w:t>
      </w:r>
      <w:r>
        <w:lastRenderedPageBreak/>
        <w:t>particular suppliers – for example when a</w:t>
      </w:r>
      <w:r w:rsidR="004B5574">
        <w:t xml:space="preserve"> major grocery</w:t>
      </w:r>
      <w:r>
        <w:t xml:space="preserve"> retailer has dealings with a large multi-national supplier that may not be disadvantage</w:t>
      </w:r>
      <w:r w:rsidR="003155AD">
        <w:t>d</w:t>
      </w:r>
      <w:r>
        <w:t xml:space="preserve"> in terms of </w:t>
      </w:r>
      <w:r w:rsidR="003155AD">
        <w:t xml:space="preserve">its </w:t>
      </w:r>
      <w:r>
        <w:t xml:space="preserve">negotiating or bargaining power. </w:t>
      </w:r>
      <w:r w:rsidR="004B5574">
        <w:t>The Commission noted there is little downside to providing protections under a Code to some relatively large suppliers that may not require the</w:t>
      </w:r>
      <w:r w:rsidR="003A6950">
        <w:t xml:space="preserve"> protections</w:t>
      </w:r>
      <w:r w:rsidR="004B5574">
        <w:t>.</w:t>
      </w:r>
    </w:p>
    <w:p w14:paraId="5A2FC9DE" w14:textId="77777777" w:rsidR="00861D0E" w:rsidRDefault="00BA3B06" w:rsidP="00B530DC">
      <w:pPr>
        <w:pStyle w:val="Numbered"/>
      </w:pPr>
      <w:r>
        <w:t xml:space="preserve">By regulating the conduct of the major grocery retailers, the Code provides protection to all suppliers in their dealings with the major grocery retailers – where the Commission heard suppliers were experiencing pressure to accept unfavourable supply terms and conditions. </w:t>
      </w:r>
    </w:p>
    <w:p w14:paraId="75BAB83A" w14:textId="0E5BF2C0" w:rsidR="00B530DC" w:rsidRPr="003B6665" w:rsidRDefault="00861D0E" w:rsidP="00B530DC">
      <w:pPr>
        <w:pStyle w:val="Numbered"/>
      </w:pPr>
      <w:r>
        <w:t>Suppliers</w:t>
      </w:r>
      <w:r w:rsidR="00BA3B06">
        <w:t xml:space="preserve"> will not be directly </w:t>
      </w:r>
      <w:r w:rsidR="00C8092C">
        <w:t>regulate</w:t>
      </w:r>
      <w:r w:rsidR="00BA3B06">
        <w:t>d</w:t>
      </w:r>
      <w:r w:rsidR="00C8092C">
        <w:t xml:space="preserve"> </w:t>
      </w:r>
      <w:r w:rsidR="00BA3B06">
        <w:t>by the Code</w:t>
      </w:r>
      <w:r>
        <w:t xml:space="preserve"> (ie they will not be designated by the Code)</w:t>
      </w:r>
      <w:r w:rsidR="00C8092C">
        <w:t xml:space="preserve">, </w:t>
      </w:r>
      <w:r w:rsidR="00BA3B06">
        <w:t xml:space="preserve">but the Code </w:t>
      </w:r>
      <w:r w:rsidR="00C8092C">
        <w:t xml:space="preserve">could </w:t>
      </w:r>
      <w:r w:rsidR="00B530DC">
        <w:t xml:space="preserve">incentivise </w:t>
      </w:r>
      <w:r w:rsidR="00B530DC" w:rsidRPr="003B6665">
        <w:t xml:space="preserve">suppliers to conduct themselves in </w:t>
      </w:r>
      <w:r w:rsidR="00BA3B06">
        <w:t>good faith in their dealings with retailers</w:t>
      </w:r>
      <w:r w:rsidR="00B530DC">
        <w:t xml:space="preserve">. </w:t>
      </w:r>
      <w:r w:rsidR="00760E71">
        <w:t xml:space="preserve">This is discussed further in </w:t>
      </w:r>
      <w:r w:rsidR="00D8478A" w:rsidRPr="00CA7B48">
        <w:rPr>
          <w:b/>
          <w:bCs/>
        </w:rPr>
        <w:t>C</w:t>
      </w:r>
      <w:r w:rsidR="00760E71" w:rsidRPr="00760E71">
        <w:rPr>
          <w:b/>
          <w:bCs/>
        </w:rPr>
        <w:t>hapter 4</w:t>
      </w:r>
      <w:r w:rsidR="003A6950">
        <w:t xml:space="preserve"> (see section 4.</w:t>
      </w:r>
      <w:r>
        <w:t>3</w:t>
      </w:r>
      <w:r w:rsidR="003A6950">
        <w:t>)</w:t>
      </w:r>
      <w:r w:rsidR="00C8092C" w:rsidRPr="00CA7B48">
        <w:t>.</w:t>
      </w:r>
    </w:p>
    <w:p w14:paraId="124E4950" w14:textId="6DD9C99E" w:rsidR="00BA3B06" w:rsidRDefault="00BA3B06" w:rsidP="00BA3B06">
      <w:pPr>
        <w:pStyle w:val="Numbered"/>
      </w:pPr>
      <w:bookmarkStart w:id="79" w:name="_Toc103173690"/>
      <w:bookmarkStart w:id="80" w:name="_Toc104358645"/>
      <w:r>
        <w:t xml:space="preserve">This approach is consistent with that of Australia and the UK, which both regulate the conduct of large grocery retailers (not suppliers), </w:t>
      </w:r>
      <w:r w:rsidR="00CA7B48">
        <w:t>using</w:t>
      </w:r>
      <w:r>
        <w:t xml:space="preserve"> Codes of Conduct</w:t>
      </w:r>
      <w:r w:rsidR="00CA7B48">
        <w:t>,</w:t>
      </w:r>
      <w:r>
        <w:t xml:space="preserve"> in their trading relationship with all suppliers. Fourteen grocery retailers are designated under the UK Code, while four retailers are voluntary signatories of the Australian Code. </w:t>
      </w:r>
    </w:p>
    <w:p w14:paraId="645DBF5C" w14:textId="200DE589" w:rsidR="00B530DC" w:rsidRPr="00AE7415" w:rsidRDefault="006655F6" w:rsidP="00D6326D">
      <w:pPr>
        <w:pStyle w:val="Heading2"/>
        <w:tabs>
          <w:tab w:val="left" w:pos="567"/>
        </w:tabs>
      </w:pPr>
      <w:bookmarkStart w:id="81" w:name="_Toc103173691"/>
      <w:bookmarkStart w:id="82" w:name="_Toc104358646"/>
      <w:bookmarkStart w:id="83" w:name="_Toc107919625"/>
      <w:bookmarkEnd w:id="79"/>
      <w:bookmarkEnd w:id="80"/>
      <w:r>
        <w:t>3.</w:t>
      </w:r>
      <w:r w:rsidR="0002572A">
        <w:t>3</w:t>
      </w:r>
      <w:r w:rsidR="00D6326D">
        <w:tab/>
      </w:r>
      <w:r w:rsidR="00B530DC" w:rsidRPr="00AE7415">
        <w:t>The method of designating</w:t>
      </w:r>
      <w:r w:rsidR="00C80957">
        <w:t xml:space="preserve"> grocery</w:t>
      </w:r>
      <w:r w:rsidR="00B530DC" w:rsidRPr="00AE7415">
        <w:t xml:space="preserve"> retailers</w:t>
      </w:r>
      <w:bookmarkEnd w:id="81"/>
      <w:bookmarkEnd w:id="82"/>
      <w:bookmarkEnd w:id="83"/>
      <w:r w:rsidR="00B530DC" w:rsidRPr="00AE7415">
        <w:t xml:space="preserve"> </w:t>
      </w:r>
    </w:p>
    <w:p w14:paraId="1AD1A5B7" w14:textId="77777777" w:rsidR="006112A1" w:rsidRDefault="0051298B" w:rsidP="005D736C">
      <w:pPr>
        <w:pStyle w:val="Numbered"/>
      </w:pPr>
      <w:r>
        <w:t xml:space="preserve">It is </w:t>
      </w:r>
      <w:r w:rsidR="006112A1">
        <w:t xml:space="preserve">proposed </w:t>
      </w:r>
      <w:r>
        <w:t xml:space="preserve">to designate the major grocery retailers </w:t>
      </w:r>
      <w:r w:rsidR="005904CB">
        <w:t>when the Code is created to require them to comply with the Code</w:t>
      </w:r>
      <w:r>
        <w:t xml:space="preserve">. </w:t>
      </w:r>
    </w:p>
    <w:p w14:paraId="5FB9DA2E" w14:textId="2D6F09FA" w:rsidR="005904CB" w:rsidRDefault="006112A1" w:rsidP="005D736C">
      <w:pPr>
        <w:pStyle w:val="Numbered"/>
      </w:pPr>
      <w:r>
        <w:t xml:space="preserve">Additionally, </w:t>
      </w:r>
      <w:r w:rsidR="002F62F9">
        <w:t>a</w:t>
      </w:r>
      <w:r w:rsidR="00B530DC">
        <w:t xml:space="preserve"> future-proof mechanism is </w:t>
      </w:r>
      <w:r w:rsidR="00953BE5">
        <w:t>proposed</w:t>
      </w:r>
      <w:r w:rsidR="00B530DC">
        <w:t xml:space="preserve"> to </w:t>
      </w:r>
      <w:r w:rsidR="00F82444">
        <w:t xml:space="preserve">designate </w:t>
      </w:r>
      <w:r w:rsidR="00B530DC">
        <w:t xml:space="preserve">any </w:t>
      </w:r>
      <w:r w:rsidR="005904CB">
        <w:t xml:space="preserve">new grocery retailers that may reach an </w:t>
      </w:r>
      <w:r w:rsidR="00B530DC" w:rsidRPr="00777C81">
        <w:t>equivalent-size in the future.</w:t>
      </w:r>
      <w:r w:rsidR="00B530DC">
        <w:t xml:space="preserve"> </w:t>
      </w:r>
      <w:r w:rsidR="005904CB">
        <w:t xml:space="preserve">Any future </w:t>
      </w:r>
      <w:r w:rsidR="0051298B">
        <w:t>designation</w:t>
      </w:r>
      <w:r w:rsidR="005904CB">
        <w:t xml:space="preserve"> process needs to have clear triggers that will result in a grocery retailer being designated. </w:t>
      </w:r>
    </w:p>
    <w:p w14:paraId="01B34B67" w14:textId="77777777" w:rsidR="005904CB" w:rsidRDefault="005904CB" w:rsidP="005D736C">
      <w:pPr>
        <w:pStyle w:val="Numbered"/>
      </w:pPr>
      <w:r>
        <w:t>Three possible triggers are being considered:</w:t>
      </w:r>
    </w:p>
    <w:p w14:paraId="382A47CD" w14:textId="232B9B84" w:rsidR="006F737E" w:rsidRPr="006F737E" w:rsidRDefault="005904CB" w:rsidP="006F737E">
      <w:pPr>
        <w:pStyle w:val="ListParagraph"/>
        <w:numPr>
          <w:ilvl w:val="1"/>
          <w:numId w:val="1"/>
        </w:numPr>
        <w:rPr>
          <w:rFonts w:eastAsiaTheme="minorEastAsia"/>
          <w:lang w:eastAsia="ko-KR"/>
        </w:rPr>
      </w:pPr>
      <w:r>
        <w:t>A threshold</w:t>
      </w:r>
      <w:r w:rsidR="006F737E">
        <w:t xml:space="preserve"> (in </w:t>
      </w:r>
      <w:r w:rsidR="00024D18">
        <w:t xml:space="preserve">annual grocery </w:t>
      </w:r>
      <w:r w:rsidR="007F62F1">
        <w:t>revenue</w:t>
      </w:r>
      <w:r w:rsidR="006F737E">
        <w:t>)</w:t>
      </w:r>
      <w:r>
        <w:t xml:space="preserve">, where any retailers that </w:t>
      </w:r>
      <w:r w:rsidR="006F737E">
        <w:t xml:space="preserve">cross </w:t>
      </w:r>
      <w:r>
        <w:t>the threshold will be designated</w:t>
      </w:r>
      <w:r w:rsidR="006F737E">
        <w:t xml:space="preserve">. A </w:t>
      </w:r>
      <w:r w:rsidR="007F62F1">
        <w:t>revenue</w:t>
      </w:r>
      <w:r w:rsidR="007F62F1">
        <w:rPr>
          <w:rFonts w:eastAsiaTheme="minorEastAsia"/>
          <w:lang w:eastAsia="ko-KR"/>
        </w:rPr>
        <w:t xml:space="preserve"> </w:t>
      </w:r>
      <w:r w:rsidR="006F737E">
        <w:rPr>
          <w:rFonts w:eastAsiaTheme="minorEastAsia"/>
          <w:lang w:eastAsia="ko-KR"/>
        </w:rPr>
        <w:t xml:space="preserve">threshold </w:t>
      </w:r>
      <w:r w:rsidR="006F737E" w:rsidRPr="006F737E">
        <w:rPr>
          <w:rFonts w:eastAsiaTheme="minorEastAsia"/>
          <w:lang w:eastAsia="ko-KR"/>
        </w:rPr>
        <w:t xml:space="preserve">is likely to be simpler and less costly to administer than a share of total </w:t>
      </w:r>
      <w:r w:rsidR="00024D18">
        <w:rPr>
          <w:rFonts w:eastAsiaTheme="minorEastAsia"/>
          <w:lang w:eastAsia="ko-KR"/>
        </w:rPr>
        <w:t xml:space="preserve">retail </w:t>
      </w:r>
      <w:r w:rsidR="006F737E" w:rsidRPr="006F737E">
        <w:rPr>
          <w:rFonts w:eastAsiaTheme="minorEastAsia"/>
          <w:lang w:eastAsia="ko-KR"/>
        </w:rPr>
        <w:t>sales</w:t>
      </w:r>
      <w:r w:rsidR="006F737E">
        <w:rPr>
          <w:rFonts w:eastAsiaTheme="minorEastAsia"/>
          <w:lang w:eastAsia="ko-KR"/>
        </w:rPr>
        <w:t xml:space="preserve"> </w:t>
      </w:r>
      <w:r w:rsidR="006F737E" w:rsidRPr="006F737E">
        <w:rPr>
          <w:rFonts w:eastAsiaTheme="minorEastAsia"/>
          <w:lang w:eastAsia="ko-KR"/>
        </w:rPr>
        <w:t xml:space="preserve">because it does not require complex estimations. </w:t>
      </w:r>
      <w:r w:rsidR="006F737E">
        <w:rPr>
          <w:rFonts w:eastAsiaTheme="minorEastAsia"/>
          <w:lang w:eastAsia="ko-KR"/>
        </w:rPr>
        <w:t xml:space="preserve">Any </w:t>
      </w:r>
      <w:r w:rsidR="007F62F1">
        <w:t>revenue</w:t>
      </w:r>
      <w:r w:rsidR="007F62F1">
        <w:rPr>
          <w:rFonts w:eastAsiaTheme="minorEastAsia"/>
          <w:lang w:eastAsia="ko-KR"/>
        </w:rPr>
        <w:t xml:space="preserve"> </w:t>
      </w:r>
      <w:r w:rsidR="006F737E">
        <w:rPr>
          <w:rFonts w:eastAsiaTheme="minorEastAsia"/>
          <w:lang w:eastAsia="ko-KR"/>
        </w:rPr>
        <w:t xml:space="preserve">threshold would be limited to </w:t>
      </w:r>
      <w:r w:rsidR="000A19A3">
        <w:rPr>
          <w:rFonts w:eastAsiaTheme="minorEastAsia"/>
          <w:lang w:eastAsia="ko-KR"/>
        </w:rPr>
        <w:t xml:space="preserve">revenue from grocery products </w:t>
      </w:r>
      <w:r w:rsidR="006F737E">
        <w:rPr>
          <w:rFonts w:eastAsiaTheme="minorEastAsia"/>
          <w:lang w:eastAsia="ko-KR"/>
        </w:rPr>
        <w:t>to ensure the Code targeted retailers</w:t>
      </w:r>
      <w:r w:rsidR="000A19A3">
        <w:rPr>
          <w:rFonts w:eastAsiaTheme="minorEastAsia"/>
          <w:lang w:eastAsia="ko-KR"/>
        </w:rPr>
        <w:t xml:space="preserve"> with a large presence in the grocery market</w:t>
      </w:r>
      <w:r w:rsidR="006F737E">
        <w:rPr>
          <w:rFonts w:eastAsiaTheme="minorEastAsia"/>
          <w:lang w:eastAsia="ko-KR"/>
        </w:rPr>
        <w:t xml:space="preserve">. Finally, any threshold needs to be limited to </w:t>
      </w:r>
      <w:r w:rsidR="00953BE5">
        <w:rPr>
          <w:rFonts w:eastAsiaTheme="minorEastAsia"/>
          <w:lang w:eastAsia="ko-KR"/>
        </w:rPr>
        <w:t xml:space="preserve">sales in </w:t>
      </w:r>
      <w:r w:rsidR="006F737E">
        <w:rPr>
          <w:rFonts w:eastAsiaTheme="minorEastAsia"/>
          <w:lang w:eastAsia="ko-KR"/>
        </w:rPr>
        <w:t xml:space="preserve">New Zealand, which may prove challenging in the future if there are overseas businesses selling groceries in New Zealand via online platforms. </w:t>
      </w:r>
    </w:p>
    <w:p w14:paraId="6F8D6A2A" w14:textId="7C8E9C68" w:rsidR="005904CB" w:rsidRDefault="005904CB" w:rsidP="005904CB">
      <w:pPr>
        <w:pStyle w:val="Numbered"/>
        <w:numPr>
          <w:ilvl w:val="1"/>
          <w:numId w:val="1"/>
        </w:numPr>
      </w:pPr>
      <w:r>
        <w:t>An investigation</w:t>
      </w:r>
      <w:r w:rsidR="00953BE5">
        <w:t>-type</w:t>
      </w:r>
      <w:r>
        <w:t xml:space="preserve"> trigger, where a retailer may be designated if </w:t>
      </w:r>
      <w:r w:rsidR="00953BE5">
        <w:t xml:space="preserve">the regulator </w:t>
      </w:r>
      <w:r>
        <w:t xml:space="preserve">confirms that the retailer is exerting </w:t>
      </w:r>
      <w:r w:rsidR="00024D18">
        <w:t>negotiating</w:t>
      </w:r>
      <w:r>
        <w:t xml:space="preserve"> power over suppliers to such an extent that it should be regulated under the Code (</w:t>
      </w:r>
      <w:r w:rsidR="006F737E">
        <w:t>complaints</w:t>
      </w:r>
      <w:r>
        <w:t xml:space="preserve"> by suppliers could be a contributing factor to initiating an investigation, along with a request of Government)</w:t>
      </w:r>
      <w:r w:rsidR="006F737E">
        <w:t>.</w:t>
      </w:r>
    </w:p>
    <w:p w14:paraId="52C64E74" w14:textId="66F74418" w:rsidR="005904CB" w:rsidRDefault="005904CB" w:rsidP="005904CB">
      <w:pPr>
        <w:pStyle w:val="Numbered"/>
        <w:numPr>
          <w:ilvl w:val="1"/>
          <w:numId w:val="1"/>
        </w:numPr>
      </w:pPr>
      <w:r>
        <w:t>A voluntary request for designation by the grocery ret</w:t>
      </w:r>
      <w:r w:rsidR="006F737E">
        <w:t>a</w:t>
      </w:r>
      <w:r>
        <w:t>iler.</w:t>
      </w:r>
    </w:p>
    <w:p w14:paraId="319767B9" w14:textId="42DC0F90" w:rsidR="000546E4" w:rsidRDefault="005904CB" w:rsidP="00EC69B3">
      <w:pPr>
        <w:pStyle w:val="Numbered"/>
      </w:pPr>
      <w:r>
        <w:lastRenderedPageBreak/>
        <w:t xml:space="preserve">Looking </w:t>
      </w:r>
      <w:r w:rsidR="000546E4">
        <w:t xml:space="preserve">to international examples, the </w:t>
      </w:r>
      <w:r>
        <w:t xml:space="preserve">mandatory </w:t>
      </w:r>
      <w:r w:rsidR="000546E4">
        <w:t xml:space="preserve">UK Code </w:t>
      </w:r>
      <w:r w:rsidR="00662A80">
        <w:t>us</w:t>
      </w:r>
      <w:r>
        <w:t>es</w:t>
      </w:r>
      <w:r w:rsidR="000546E4">
        <w:t xml:space="preserve"> a</w:t>
      </w:r>
      <w:r w:rsidR="00662A80">
        <w:t xml:space="preserve"> </w:t>
      </w:r>
      <w:r w:rsidR="000546E4">
        <w:t>revenue threshold</w:t>
      </w:r>
      <w:r w:rsidR="00662A80">
        <w:t xml:space="preserve"> of </w:t>
      </w:r>
      <w:r w:rsidR="00662A80">
        <w:rPr>
          <w:rFonts w:cstheme="minorHAnsi"/>
        </w:rPr>
        <w:t>£</w:t>
      </w:r>
      <w:r w:rsidR="00662A80">
        <w:t xml:space="preserve">1 billion in a financial year, </w:t>
      </w:r>
      <w:r w:rsidR="00953BE5">
        <w:t xml:space="preserve">and </w:t>
      </w:r>
      <w:r w:rsidR="00662A80">
        <w:t xml:space="preserve">the UK Competition and Markets Authority </w:t>
      </w:r>
      <w:r>
        <w:t xml:space="preserve">has some discretion </w:t>
      </w:r>
      <w:r w:rsidR="00662A80">
        <w:t>when determining whether to designate a retailer.</w:t>
      </w:r>
      <w:r w:rsidR="00662A80">
        <w:rPr>
          <w:rStyle w:val="FootnoteReference"/>
        </w:rPr>
        <w:footnoteReference w:id="10"/>
      </w:r>
    </w:p>
    <w:p w14:paraId="3F979224" w14:textId="0F4DD278" w:rsidR="00662A80" w:rsidRDefault="005904CB" w:rsidP="00EC69B3">
      <w:pPr>
        <w:pStyle w:val="Numbered"/>
      </w:pPr>
      <w:r>
        <w:t>Unlike the UK Code, t</w:t>
      </w:r>
      <w:r w:rsidR="00662A80">
        <w:t>he Australian Code is voluntary</w:t>
      </w:r>
      <w:r w:rsidR="00B561A8">
        <w:t>,</w:t>
      </w:r>
      <w:r>
        <w:t xml:space="preserve"> meaning it has no designation process and a retailer must sign up</w:t>
      </w:r>
      <w:r w:rsidR="00662A80">
        <w:t xml:space="preserve">. However, </w:t>
      </w:r>
      <w:r>
        <w:t>t</w:t>
      </w:r>
      <w:r w:rsidR="00662A80">
        <w:t xml:space="preserve">he Australian Government </w:t>
      </w:r>
      <w:r>
        <w:t xml:space="preserve">has </w:t>
      </w:r>
      <w:r w:rsidR="00662A80">
        <w:t>indicated that retailers with an annual revenue of $5 billion or more</w:t>
      </w:r>
      <w:r w:rsidR="00B561A8">
        <w:t>,</w:t>
      </w:r>
      <w:r w:rsidR="00662A80">
        <w:t xml:space="preserve"> or a share of total retail grocery sales </w:t>
      </w:r>
      <w:r w:rsidR="008A7AA7">
        <w:t xml:space="preserve">in Australia </w:t>
      </w:r>
      <w:r w:rsidR="00662A80">
        <w:t>of 5% or more</w:t>
      </w:r>
      <w:r w:rsidR="00B561A8">
        <w:t>,</w:t>
      </w:r>
      <w:r w:rsidR="00662A80">
        <w:t xml:space="preserve"> should voluntarily sign up to the Code.</w:t>
      </w:r>
      <w:r w:rsidR="00662A80">
        <w:rPr>
          <w:rStyle w:val="FootnoteReference"/>
        </w:rPr>
        <w:footnoteReference w:id="11"/>
      </w:r>
      <w:r w:rsidR="00662A80">
        <w:t xml:space="preserve"> </w:t>
      </w:r>
    </w:p>
    <w:p w14:paraId="7BF86588" w14:textId="37900030" w:rsidR="00EC69B3" w:rsidRDefault="00EC69B3" w:rsidP="00DE4F32">
      <w:pPr>
        <w:pStyle w:val="Numbered"/>
      </w:pPr>
      <w:r>
        <w:t>Three options for designation are being considered</w:t>
      </w:r>
      <w:r w:rsidRPr="00A66D4C">
        <w:t>:</w:t>
      </w:r>
    </w:p>
    <w:tbl>
      <w:tblPr>
        <w:tblStyle w:val="TableGrid"/>
        <w:tblW w:w="5000" w:type="pct"/>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2723"/>
        <w:gridCol w:w="3325"/>
        <w:gridCol w:w="3022"/>
      </w:tblGrid>
      <w:tr w:rsidR="00EC69B3" w:rsidRPr="00693A61" w14:paraId="292E9AB5" w14:textId="4C33AB63" w:rsidTr="0002572A">
        <w:tc>
          <w:tcPr>
            <w:tcW w:w="1501" w:type="pct"/>
            <w:shd w:val="clear" w:color="auto" w:fill="B3D0D5"/>
          </w:tcPr>
          <w:p w14:paraId="45D6B0BA" w14:textId="3B54628F" w:rsidR="000546E4" w:rsidRPr="00693A61" w:rsidRDefault="00EC69B3" w:rsidP="00594084">
            <w:pPr>
              <w:pStyle w:val="Numbered"/>
              <w:numPr>
                <w:ilvl w:val="0"/>
                <w:numId w:val="0"/>
              </w:numPr>
              <w:spacing w:before="0"/>
            </w:pPr>
            <w:r>
              <w:rPr>
                <w:b/>
                <w:bCs/>
              </w:rPr>
              <w:t>Designation Option A</w:t>
            </w:r>
            <w:r>
              <w:t xml:space="preserve"> </w:t>
            </w:r>
          </w:p>
        </w:tc>
        <w:tc>
          <w:tcPr>
            <w:tcW w:w="1833" w:type="pct"/>
            <w:shd w:val="clear" w:color="auto" w:fill="B3D0D5"/>
          </w:tcPr>
          <w:p w14:paraId="5846A4D6" w14:textId="0FC4893A" w:rsidR="00EC69B3" w:rsidRPr="00693A61" w:rsidRDefault="00EC69B3" w:rsidP="004F1BE9">
            <w:pPr>
              <w:pStyle w:val="Numbered"/>
              <w:numPr>
                <w:ilvl w:val="0"/>
                <w:numId w:val="0"/>
              </w:numPr>
              <w:spacing w:before="0"/>
              <w:rPr>
                <w:b/>
                <w:bCs/>
              </w:rPr>
            </w:pPr>
            <w:r>
              <w:rPr>
                <w:b/>
                <w:bCs/>
              </w:rPr>
              <w:t>Designation Option B</w:t>
            </w:r>
          </w:p>
        </w:tc>
        <w:tc>
          <w:tcPr>
            <w:tcW w:w="1666" w:type="pct"/>
            <w:shd w:val="clear" w:color="auto" w:fill="B3D0D5"/>
          </w:tcPr>
          <w:p w14:paraId="7542D16C" w14:textId="1CE96802" w:rsidR="00EC69B3" w:rsidRDefault="000546E4" w:rsidP="004F1BE9">
            <w:pPr>
              <w:pStyle w:val="Numbered"/>
              <w:numPr>
                <w:ilvl w:val="0"/>
                <w:numId w:val="0"/>
              </w:numPr>
              <w:spacing w:before="0"/>
              <w:rPr>
                <w:b/>
                <w:bCs/>
              </w:rPr>
            </w:pPr>
            <w:r>
              <w:rPr>
                <w:b/>
                <w:bCs/>
              </w:rPr>
              <w:t>Designation Option C</w:t>
            </w:r>
          </w:p>
        </w:tc>
      </w:tr>
      <w:tr w:rsidR="00EC69B3" w:rsidRPr="00693A61" w14:paraId="457A8AFD" w14:textId="1F6921FC" w:rsidTr="0002572A">
        <w:trPr>
          <w:trHeight w:val="526"/>
        </w:trPr>
        <w:tc>
          <w:tcPr>
            <w:tcW w:w="1501" w:type="pct"/>
            <w:shd w:val="clear" w:color="auto" w:fill="B3D0D5"/>
          </w:tcPr>
          <w:p w14:paraId="183F05AF" w14:textId="598CF6B8" w:rsidR="0002572A" w:rsidRPr="006112A1" w:rsidRDefault="0002572A" w:rsidP="0002572A">
            <w:pPr>
              <w:pStyle w:val="Numbered"/>
              <w:numPr>
                <w:ilvl w:val="0"/>
                <w:numId w:val="0"/>
              </w:numPr>
              <w:spacing w:before="0" w:after="120"/>
              <w:rPr>
                <w:u w:val="single"/>
              </w:rPr>
            </w:pPr>
            <w:r>
              <w:rPr>
                <w:u w:val="single"/>
              </w:rPr>
              <w:t>Current designation:</w:t>
            </w:r>
          </w:p>
          <w:p w14:paraId="1E00E35E" w14:textId="43135339" w:rsidR="006112A1" w:rsidRDefault="0002572A" w:rsidP="004579DB">
            <w:pPr>
              <w:pStyle w:val="Numbered"/>
              <w:numPr>
                <w:ilvl w:val="0"/>
                <w:numId w:val="0"/>
              </w:numPr>
              <w:spacing w:before="0" w:after="120"/>
            </w:pPr>
            <w:r>
              <w:t>M</w:t>
            </w:r>
            <w:r w:rsidR="006112A1">
              <w:t xml:space="preserve">ajor grocery retailers. </w:t>
            </w:r>
          </w:p>
          <w:p w14:paraId="3E331DF4" w14:textId="2F8A7C1D" w:rsidR="006112A1" w:rsidRPr="006112A1" w:rsidRDefault="006112A1" w:rsidP="004579DB">
            <w:pPr>
              <w:pStyle w:val="Numbered"/>
              <w:numPr>
                <w:ilvl w:val="0"/>
                <w:numId w:val="0"/>
              </w:numPr>
              <w:spacing w:before="0" w:after="120"/>
              <w:rPr>
                <w:u w:val="single"/>
              </w:rPr>
            </w:pPr>
            <w:r w:rsidRPr="006112A1">
              <w:rPr>
                <w:u w:val="single"/>
              </w:rPr>
              <w:t>Future mechanism:</w:t>
            </w:r>
          </w:p>
          <w:p w14:paraId="7BF1D9FB" w14:textId="3B04D073" w:rsidR="00404FB0" w:rsidRPr="007E57F6" w:rsidRDefault="006F737E" w:rsidP="004579DB">
            <w:pPr>
              <w:pStyle w:val="Numbered"/>
              <w:numPr>
                <w:ilvl w:val="0"/>
                <w:numId w:val="0"/>
              </w:numPr>
              <w:spacing w:before="0" w:after="120"/>
            </w:pPr>
            <w:r>
              <w:t xml:space="preserve">Regulator </w:t>
            </w:r>
            <w:r w:rsidR="00953BE5">
              <w:t>may</w:t>
            </w:r>
            <w:r w:rsidR="00404FB0">
              <w:t xml:space="preserve"> designate if grocery </w:t>
            </w:r>
            <w:r w:rsidR="007F62F1">
              <w:t>revenue</w:t>
            </w:r>
            <w:r w:rsidR="007F62F1" w:rsidDel="007F62F1">
              <w:t xml:space="preserve"> </w:t>
            </w:r>
            <w:r w:rsidR="00404FB0">
              <w:t xml:space="preserve">is more than </w:t>
            </w:r>
            <w:r w:rsidR="000546E4">
              <w:t>$500 million, on a single-year basis.</w:t>
            </w:r>
          </w:p>
        </w:tc>
        <w:tc>
          <w:tcPr>
            <w:tcW w:w="1833" w:type="pct"/>
            <w:shd w:val="clear" w:color="auto" w:fill="B3D0D5"/>
          </w:tcPr>
          <w:p w14:paraId="65C75A9F" w14:textId="77777777" w:rsidR="0002572A" w:rsidRPr="006112A1" w:rsidRDefault="0002572A" w:rsidP="0002572A">
            <w:pPr>
              <w:pStyle w:val="Numbered"/>
              <w:numPr>
                <w:ilvl w:val="0"/>
                <w:numId w:val="0"/>
              </w:numPr>
              <w:spacing w:before="0" w:after="120"/>
              <w:rPr>
                <w:u w:val="single"/>
              </w:rPr>
            </w:pPr>
            <w:r>
              <w:rPr>
                <w:u w:val="single"/>
              </w:rPr>
              <w:t>Current designation:</w:t>
            </w:r>
          </w:p>
          <w:p w14:paraId="7D60BDD2" w14:textId="2A251994" w:rsidR="006112A1" w:rsidRDefault="0002572A" w:rsidP="004579DB">
            <w:pPr>
              <w:pStyle w:val="Numbered"/>
              <w:numPr>
                <w:ilvl w:val="0"/>
                <w:numId w:val="0"/>
              </w:numPr>
              <w:spacing w:before="0" w:after="120"/>
            </w:pPr>
            <w:r>
              <w:t>M</w:t>
            </w:r>
            <w:r w:rsidR="006112A1">
              <w:t xml:space="preserve">ajor grocery retailers. </w:t>
            </w:r>
          </w:p>
          <w:p w14:paraId="035F1AFA" w14:textId="77777777" w:rsidR="006112A1" w:rsidRPr="006112A1" w:rsidRDefault="006112A1" w:rsidP="004579DB">
            <w:pPr>
              <w:pStyle w:val="Numbered"/>
              <w:numPr>
                <w:ilvl w:val="0"/>
                <w:numId w:val="0"/>
              </w:numPr>
              <w:spacing w:before="0" w:after="120"/>
              <w:rPr>
                <w:u w:val="single"/>
              </w:rPr>
            </w:pPr>
            <w:r w:rsidRPr="006112A1">
              <w:rPr>
                <w:u w:val="single"/>
              </w:rPr>
              <w:t>Future mechanism:</w:t>
            </w:r>
          </w:p>
          <w:p w14:paraId="7B893C12" w14:textId="3A3DE06A" w:rsidR="000546E4" w:rsidRDefault="006F737E" w:rsidP="004579DB">
            <w:pPr>
              <w:pStyle w:val="Numbered"/>
              <w:numPr>
                <w:ilvl w:val="0"/>
                <w:numId w:val="0"/>
              </w:numPr>
              <w:spacing w:before="0" w:after="120"/>
            </w:pPr>
            <w:r>
              <w:t xml:space="preserve">Regulator </w:t>
            </w:r>
            <w:r w:rsidR="00953BE5">
              <w:t>must</w:t>
            </w:r>
            <w:r w:rsidR="00C81F4E">
              <w:t xml:space="preserve"> </w:t>
            </w:r>
            <w:r w:rsidR="00404FB0">
              <w:t xml:space="preserve">designate if grocery </w:t>
            </w:r>
            <w:r w:rsidR="007F62F1">
              <w:t xml:space="preserve">revenue </w:t>
            </w:r>
            <w:r w:rsidR="00404FB0">
              <w:t>is more than $</w:t>
            </w:r>
            <w:r w:rsidR="000546E4">
              <w:t>750 million</w:t>
            </w:r>
            <w:r w:rsidR="00953BE5">
              <w:t xml:space="preserve"> annually</w:t>
            </w:r>
            <w:r w:rsidR="000546E4">
              <w:t xml:space="preserve">, </w:t>
            </w:r>
            <w:r w:rsidR="00404FB0">
              <w:t xml:space="preserve">for </w:t>
            </w:r>
            <w:r w:rsidR="000546E4">
              <w:t xml:space="preserve">two </w:t>
            </w:r>
            <w:r w:rsidR="00404FB0">
              <w:t xml:space="preserve">sequential </w:t>
            </w:r>
            <w:r w:rsidR="000546E4">
              <w:t>financial years.</w:t>
            </w:r>
          </w:p>
          <w:p w14:paraId="08447649" w14:textId="47C8CCCC" w:rsidR="00EC69B3" w:rsidRDefault="006F737E" w:rsidP="004579DB">
            <w:pPr>
              <w:pStyle w:val="Numbered"/>
              <w:numPr>
                <w:ilvl w:val="0"/>
                <w:numId w:val="0"/>
              </w:numPr>
              <w:spacing w:before="0" w:after="120"/>
            </w:pPr>
            <w:r>
              <w:t>Regulator m</w:t>
            </w:r>
            <w:r w:rsidR="00404FB0">
              <w:t>ay</w:t>
            </w:r>
            <w:r w:rsidR="000546E4">
              <w:t xml:space="preserve"> designate a retailer following an investigation or if requested by the retailer.</w:t>
            </w:r>
          </w:p>
        </w:tc>
        <w:tc>
          <w:tcPr>
            <w:tcW w:w="1666" w:type="pct"/>
            <w:shd w:val="clear" w:color="auto" w:fill="B3D0D5"/>
          </w:tcPr>
          <w:p w14:paraId="2BEC7389" w14:textId="77777777" w:rsidR="0002572A" w:rsidRPr="006112A1" w:rsidRDefault="0002572A" w:rsidP="0002572A">
            <w:pPr>
              <w:pStyle w:val="Numbered"/>
              <w:numPr>
                <w:ilvl w:val="0"/>
                <w:numId w:val="0"/>
              </w:numPr>
              <w:spacing w:before="0" w:after="120"/>
              <w:rPr>
                <w:u w:val="single"/>
              </w:rPr>
            </w:pPr>
            <w:r>
              <w:rPr>
                <w:u w:val="single"/>
              </w:rPr>
              <w:t>Current designation:</w:t>
            </w:r>
          </w:p>
          <w:p w14:paraId="5C769593" w14:textId="4A27275F" w:rsidR="006112A1" w:rsidRDefault="0002572A" w:rsidP="004579DB">
            <w:pPr>
              <w:pStyle w:val="Numbered"/>
              <w:numPr>
                <w:ilvl w:val="0"/>
                <w:numId w:val="0"/>
              </w:numPr>
              <w:spacing w:before="0" w:after="120"/>
            </w:pPr>
            <w:r>
              <w:t>M</w:t>
            </w:r>
            <w:r w:rsidR="006112A1">
              <w:t xml:space="preserve">ajor grocery retailers. </w:t>
            </w:r>
          </w:p>
          <w:p w14:paraId="4C550085" w14:textId="77777777" w:rsidR="006112A1" w:rsidRPr="006112A1" w:rsidRDefault="006112A1" w:rsidP="004579DB">
            <w:pPr>
              <w:pStyle w:val="Numbered"/>
              <w:numPr>
                <w:ilvl w:val="0"/>
                <w:numId w:val="0"/>
              </w:numPr>
              <w:spacing w:before="0" w:after="120"/>
              <w:rPr>
                <w:u w:val="single"/>
              </w:rPr>
            </w:pPr>
            <w:r w:rsidRPr="006112A1">
              <w:rPr>
                <w:u w:val="single"/>
              </w:rPr>
              <w:t>Future mechanism:</w:t>
            </w:r>
          </w:p>
          <w:p w14:paraId="14CCBE93" w14:textId="4F456592" w:rsidR="00404FB0" w:rsidRDefault="006F737E" w:rsidP="004579DB">
            <w:pPr>
              <w:pStyle w:val="Numbered"/>
              <w:numPr>
                <w:ilvl w:val="0"/>
                <w:numId w:val="0"/>
              </w:numPr>
              <w:spacing w:before="0" w:after="120"/>
            </w:pPr>
            <w:r>
              <w:t>Regulator m</w:t>
            </w:r>
            <w:r w:rsidR="00404FB0">
              <w:t xml:space="preserve">ust designate if grocery </w:t>
            </w:r>
            <w:r w:rsidR="007F62F1">
              <w:t xml:space="preserve">revenue </w:t>
            </w:r>
            <w:r w:rsidR="00404FB0">
              <w:t>is more than $1.5 billion, on a single-year basis.</w:t>
            </w:r>
          </w:p>
          <w:p w14:paraId="1F497CDE" w14:textId="3B3CE587" w:rsidR="00EC69B3" w:rsidRDefault="006F737E" w:rsidP="004579DB">
            <w:pPr>
              <w:pStyle w:val="Numbered"/>
              <w:numPr>
                <w:ilvl w:val="0"/>
                <w:numId w:val="0"/>
              </w:numPr>
              <w:spacing w:before="0" w:after="120"/>
            </w:pPr>
            <w:r>
              <w:t>Regulator m</w:t>
            </w:r>
            <w:r w:rsidR="00404FB0">
              <w:t xml:space="preserve">ay </w:t>
            </w:r>
            <w:r w:rsidR="000546E4">
              <w:t>designate a retailer following an investigation or if requested by the retailer.</w:t>
            </w:r>
          </w:p>
        </w:tc>
      </w:tr>
    </w:tbl>
    <w:p w14:paraId="7F11C3EB" w14:textId="36777DA1" w:rsidR="00EB3A50" w:rsidRDefault="006F737E" w:rsidP="00B530DC">
      <w:pPr>
        <w:pStyle w:val="Numbered"/>
      </w:pPr>
      <w:bookmarkStart w:id="84" w:name="_Hlk103929327"/>
      <w:r>
        <w:t>Considering</w:t>
      </w:r>
      <w:r w:rsidR="00EB3A50" w:rsidRPr="00DE4F32">
        <w:t xml:space="preserve"> future designations, </w:t>
      </w:r>
      <w:r w:rsidR="00EB3A50">
        <w:rPr>
          <w:b/>
          <w:bCs/>
        </w:rPr>
        <w:t xml:space="preserve">Option A </w:t>
      </w:r>
      <w:r w:rsidR="00EB3A50">
        <w:t>has the lowest threshold and is more likely to result in another grocery retailer being designated under the Code in the future</w:t>
      </w:r>
      <w:r w:rsidR="006C6400">
        <w:t xml:space="preserve"> than </w:t>
      </w:r>
      <w:r w:rsidR="006C6400">
        <w:rPr>
          <w:b/>
          <w:bCs/>
        </w:rPr>
        <w:t>Options B or C</w:t>
      </w:r>
      <w:r w:rsidR="006C6400">
        <w:t xml:space="preserve">. As a result, </w:t>
      </w:r>
      <w:r w:rsidR="006C6400">
        <w:rPr>
          <w:b/>
          <w:bCs/>
        </w:rPr>
        <w:t xml:space="preserve">Option A </w:t>
      </w:r>
      <w:r w:rsidR="00EB3A50">
        <w:t>provid</w:t>
      </w:r>
      <w:r w:rsidR="006C6400">
        <w:t xml:space="preserve">es the most </w:t>
      </w:r>
      <w:r w:rsidR="00EB3A50">
        <w:t>protection to suppliers, but</w:t>
      </w:r>
      <w:r w:rsidR="006C6400">
        <w:t xml:space="preserve"> may</w:t>
      </w:r>
      <w:r w:rsidR="00EB3A50">
        <w:t xml:space="preserve"> impos</w:t>
      </w:r>
      <w:r w:rsidR="006C6400">
        <w:t>e</w:t>
      </w:r>
      <w:r w:rsidR="00EB3A50">
        <w:t xml:space="preserve"> some compliance costs on the newly-designated retailer. </w:t>
      </w:r>
    </w:p>
    <w:p w14:paraId="791D49EF" w14:textId="2FBFD9BB" w:rsidR="00E276CC" w:rsidRDefault="00E276CC" w:rsidP="00B530DC">
      <w:pPr>
        <w:pStyle w:val="Numbered"/>
      </w:pPr>
      <w:r>
        <w:t>In terms of the value of the threshold, we note that an equivalent to the 5% suggested in Australia would be approximately $1.1 billion in New Zealand.</w:t>
      </w:r>
      <w:r>
        <w:rPr>
          <w:rStyle w:val="FootnoteReference"/>
        </w:rPr>
        <w:footnoteReference w:id="12"/>
      </w:r>
      <w:r>
        <w:t xml:space="preserve"> Therefore, </w:t>
      </w:r>
      <w:r>
        <w:rPr>
          <w:b/>
          <w:bCs/>
        </w:rPr>
        <w:t xml:space="preserve">Options A and B </w:t>
      </w:r>
      <w:r>
        <w:t xml:space="preserve">would be comparatively ‘lower’ thresholds than suggested in Australia, while </w:t>
      </w:r>
      <w:r>
        <w:rPr>
          <w:b/>
          <w:bCs/>
        </w:rPr>
        <w:t xml:space="preserve">Option C </w:t>
      </w:r>
      <w:r>
        <w:t xml:space="preserve">is higher. </w:t>
      </w:r>
    </w:p>
    <w:p w14:paraId="6E10B0F3" w14:textId="52FB1315" w:rsidR="00141601" w:rsidRDefault="00141601" w:rsidP="00B530DC">
      <w:pPr>
        <w:pStyle w:val="Numbered"/>
      </w:pPr>
      <w:r>
        <w:t xml:space="preserve">All the major grocery retailers </w:t>
      </w:r>
      <w:r w:rsidR="006C6400">
        <w:t>have revenue well above</w:t>
      </w:r>
      <w:r>
        <w:t xml:space="preserve"> the threshold in </w:t>
      </w:r>
      <w:r w:rsidRPr="000B7798">
        <w:rPr>
          <w:b/>
          <w:bCs/>
        </w:rPr>
        <w:t>Options A-C</w:t>
      </w:r>
      <w:r>
        <w:t xml:space="preserve">. Foodstuffs South Island has an annual </w:t>
      </w:r>
      <w:r w:rsidR="007F62F1">
        <w:t xml:space="preserve">revenue </w:t>
      </w:r>
      <w:r>
        <w:t>of between $3-$3.5</w:t>
      </w:r>
      <w:r w:rsidR="00B561A8">
        <w:t xml:space="preserve"> </w:t>
      </w:r>
      <w:r>
        <w:t xml:space="preserve">billion. Foodstuffs North Island has an annual </w:t>
      </w:r>
      <w:r w:rsidR="007F62F1">
        <w:t xml:space="preserve">revenue </w:t>
      </w:r>
      <w:r>
        <w:t xml:space="preserve">of around $8.5-$9.5 billion, and Woolworths New Zealand has an </w:t>
      </w:r>
      <w:r>
        <w:lastRenderedPageBreak/>
        <w:t xml:space="preserve">annual </w:t>
      </w:r>
      <w:r w:rsidR="007F62F1">
        <w:t xml:space="preserve">revenue </w:t>
      </w:r>
      <w:r>
        <w:t xml:space="preserve">of around $7-$7.5 billion. </w:t>
      </w:r>
      <w:r w:rsidR="006C6400">
        <w:t>Collectively, petrol convenience stores, dairies, and convenience stores (some of which will be within the major grocery retailers) likely have an annual turnover of around $3.5 billion</w:t>
      </w:r>
      <w:r w:rsidR="00CA7B48">
        <w:rPr>
          <w:rStyle w:val="FootnoteReference"/>
        </w:rPr>
        <w:footnoteReference w:id="13"/>
      </w:r>
      <w:r w:rsidR="006C6400">
        <w:t>).</w:t>
      </w:r>
      <w:r w:rsidR="00024D18">
        <w:t xml:space="preserve"> </w:t>
      </w:r>
    </w:p>
    <w:p w14:paraId="571A6BCD" w14:textId="383B645E" w:rsidR="00E276CC" w:rsidRDefault="00E276CC" w:rsidP="00B530DC">
      <w:pPr>
        <w:pStyle w:val="Numbered"/>
      </w:pPr>
      <w:r>
        <w:t xml:space="preserve">The inclusion of </w:t>
      </w:r>
      <w:r w:rsidR="006C6400">
        <w:t xml:space="preserve">discretion for the regulator in the designation process </w:t>
      </w:r>
      <w:r>
        <w:t xml:space="preserve">adds potential administrative costs, but </w:t>
      </w:r>
      <w:r w:rsidR="006C6400">
        <w:t xml:space="preserve">improves the overall effectiveness and durability of </w:t>
      </w:r>
      <w:r>
        <w:rPr>
          <w:b/>
          <w:bCs/>
        </w:rPr>
        <w:t>Options B and C</w:t>
      </w:r>
      <w:r>
        <w:t xml:space="preserve"> with their slightly higher</w:t>
      </w:r>
      <w:r w:rsidR="006C6400">
        <w:t xml:space="preserve"> mandatory</w:t>
      </w:r>
      <w:r>
        <w:t xml:space="preserve"> thresholds. </w:t>
      </w:r>
    </w:p>
    <w:p w14:paraId="42391C68" w14:textId="2D9C7648" w:rsidR="0002572A" w:rsidRDefault="0002572A" w:rsidP="0002572A">
      <w:pPr>
        <w:pStyle w:val="Heading2"/>
        <w:tabs>
          <w:tab w:val="left" w:pos="567"/>
        </w:tabs>
      </w:pPr>
      <w:bookmarkStart w:id="85" w:name="_Toc107919626"/>
      <w:bookmarkStart w:id="86" w:name="_Toc104358647"/>
      <w:bookmarkEnd w:id="84"/>
      <w:r>
        <w:t>3.4</w:t>
      </w:r>
      <w:r>
        <w:tab/>
      </w:r>
      <w:r w:rsidRPr="00E056F3">
        <w:t xml:space="preserve">How </w:t>
      </w:r>
      <w:r>
        <w:t xml:space="preserve">should the major grocery </w:t>
      </w:r>
      <w:r w:rsidRPr="00E056F3">
        <w:t xml:space="preserve">retailers </w:t>
      </w:r>
      <w:r>
        <w:t xml:space="preserve">be regulated by </w:t>
      </w:r>
      <w:r w:rsidRPr="00E056F3">
        <w:t>the Code?</w:t>
      </w:r>
      <w:bookmarkEnd w:id="85"/>
    </w:p>
    <w:p w14:paraId="24038EE2" w14:textId="77777777" w:rsidR="0002572A" w:rsidRDefault="0002572A" w:rsidP="0002572A">
      <w:pPr>
        <w:pStyle w:val="Numbered"/>
      </w:pPr>
      <w:r>
        <w:t xml:space="preserve">There are a number of aspects to consider in relation to how the major grocery retailers will be regulated by the Code. These include which entity is technically designated under the Code and therefore required to comply with the Code, and where the obligations established in the Code fit within the business operations of the major grocery retailers (‘head office’ versus store-level). </w:t>
      </w:r>
    </w:p>
    <w:p w14:paraId="378D4A6B" w14:textId="77777777" w:rsidR="0002572A" w:rsidRDefault="0002572A" w:rsidP="0002572A">
      <w:pPr>
        <w:pStyle w:val="Numbered"/>
      </w:pPr>
      <w:r>
        <w:t xml:space="preserve">Generally, any liability for a breach of the Code should be aligned to the obligations under the Code, to encourage efficient compliance. </w:t>
      </w:r>
    </w:p>
    <w:p w14:paraId="426CCE4D" w14:textId="77777777" w:rsidR="0002572A" w:rsidRPr="00A66D4C" w:rsidRDefault="0002572A" w:rsidP="0002572A">
      <w:pPr>
        <w:pStyle w:val="Numbered"/>
      </w:pPr>
      <w:r>
        <w:t>Three options for how the Code could apply to major grocery retailers are being considered</w:t>
      </w:r>
      <w:r w:rsidRPr="00A66D4C">
        <w:t>:</w:t>
      </w:r>
    </w:p>
    <w:tbl>
      <w:tblPr>
        <w:tblStyle w:val="TableGrid"/>
        <w:tblW w:w="5000" w:type="pct"/>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3177"/>
        <w:gridCol w:w="2873"/>
        <w:gridCol w:w="3020"/>
      </w:tblGrid>
      <w:tr w:rsidR="0002572A" w:rsidRPr="00693A61" w14:paraId="7071D083" w14:textId="77777777" w:rsidTr="00097603">
        <w:tc>
          <w:tcPr>
            <w:tcW w:w="1751" w:type="pct"/>
            <w:shd w:val="clear" w:color="auto" w:fill="B3D0D5"/>
          </w:tcPr>
          <w:p w14:paraId="63333B3C" w14:textId="77777777" w:rsidR="0002572A" w:rsidRPr="00693A61" w:rsidRDefault="0002572A" w:rsidP="00097603">
            <w:pPr>
              <w:pStyle w:val="Numbered"/>
              <w:numPr>
                <w:ilvl w:val="0"/>
                <w:numId w:val="0"/>
              </w:numPr>
              <w:spacing w:before="0"/>
            </w:pPr>
            <w:r w:rsidRPr="00693A61">
              <w:rPr>
                <w:b/>
                <w:bCs/>
              </w:rPr>
              <w:t xml:space="preserve">Option </w:t>
            </w:r>
            <w:r>
              <w:rPr>
                <w:b/>
                <w:bCs/>
              </w:rPr>
              <w:t>A</w:t>
            </w:r>
            <w:r w:rsidRPr="004F1BE9">
              <w:rPr>
                <w:b/>
                <w:bCs/>
              </w:rPr>
              <w:t xml:space="preserve">: </w:t>
            </w:r>
            <w:r>
              <w:t>O</w:t>
            </w:r>
            <w:r w:rsidRPr="002F62F9">
              <w:t>bligations on head</w:t>
            </w:r>
            <w:r>
              <w:t xml:space="preserve"> </w:t>
            </w:r>
            <w:r w:rsidRPr="002F62F9">
              <w:t>office</w:t>
            </w:r>
            <w:r>
              <w:t xml:space="preserve"> and s</w:t>
            </w:r>
            <w:r w:rsidRPr="002F62F9">
              <w:t>ome direct obligations on stores</w:t>
            </w:r>
          </w:p>
        </w:tc>
        <w:tc>
          <w:tcPr>
            <w:tcW w:w="1584" w:type="pct"/>
            <w:shd w:val="clear" w:color="auto" w:fill="B3D0D5"/>
          </w:tcPr>
          <w:p w14:paraId="3F744FC7" w14:textId="77777777" w:rsidR="0002572A" w:rsidRPr="00693A61" w:rsidRDefault="0002572A" w:rsidP="00097603">
            <w:pPr>
              <w:pStyle w:val="Numbered"/>
              <w:numPr>
                <w:ilvl w:val="0"/>
                <w:numId w:val="0"/>
              </w:numPr>
              <w:spacing w:before="0"/>
            </w:pPr>
            <w:r w:rsidRPr="00693A61">
              <w:rPr>
                <w:b/>
                <w:bCs/>
              </w:rPr>
              <w:t xml:space="preserve">Option </w:t>
            </w:r>
            <w:r>
              <w:rPr>
                <w:b/>
                <w:bCs/>
              </w:rPr>
              <w:t xml:space="preserve">B: </w:t>
            </w:r>
            <w:r>
              <w:t>O</w:t>
            </w:r>
            <w:r w:rsidRPr="002F62F9">
              <w:t>bligations on head</w:t>
            </w:r>
            <w:r>
              <w:t xml:space="preserve"> </w:t>
            </w:r>
            <w:r w:rsidRPr="002F62F9">
              <w:t>office</w:t>
            </w:r>
            <w:r>
              <w:t xml:space="preserve"> and s</w:t>
            </w:r>
            <w:r w:rsidRPr="002F62F9">
              <w:t xml:space="preserve">ome direct obligations on stores </w:t>
            </w:r>
            <w:r>
              <w:t>excluding smaller stores</w:t>
            </w:r>
          </w:p>
        </w:tc>
        <w:tc>
          <w:tcPr>
            <w:tcW w:w="1666" w:type="pct"/>
            <w:shd w:val="clear" w:color="auto" w:fill="B3D0D5"/>
          </w:tcPr>
          <w:p w14:paraId="6C255D1B" w14:textId="77777777" w:rsidR="0002572A" w:rsidRPr="00693A61" w:rsidRDefault="0002572A" w:rsidP="00097603">
            <w:pPr>
              <w:pStyle w:val="Numbered"/>
              <w:numPr>
                <w:ilvl w:val="0"/>
                <w:numId w:val="0"/>
              </w:numPr>
              <w:spacing w:before="0"/>
              <w:rPr>
                <w:b/>
                <w:bCs/>
              </w:rPr>
            </w:pPr>
            <w:r w:rsidRPr="004F1BE9">
              <w:rPr>
                <w:b/>
                <w:bCs/>
              </w:rPr>
              <w:t xml:space="preserve">Option C: </w:t>
            </w:r>
            <w:r w:rsidRPr="002F62F9">
              <w:t>All obligations on head</w:t>
            </w:r>
            <w:r>
              <w:t xml:space="preserve"> </w:t>
            </w:r>
            <w:r w:rsidRPr="002F62F9">
              <w:t>office</w:t>
            </w:r>
            <w:r>
              <w:t xml:space="preserve"> </w:t>
            </w:r>
          </w:p>
        </w:tc>
      </w:tr>
      <w:tr w:rsidR="0002572A" w:rsidRPr="00693A61" w14:paraId="2C2BD5F8" w14:textId="77777777" w:rsidTr="00097603">
        <w:trPr>
          <w:trHeight w:val="979"/>
        </w:trPr>
        <w:tc>
          <w:tcPr>
            <w:tcW w:w="1751" w:type="pct"/>
            <w:shd w:val="clear" w:color="auto" w:fill="B3D0D5"/>
          </w:tcPr>
          <w:p w14:paraId="59592D98" w14:textId="77777777" w:rsidR="0002572A" w:rsidRPr="00DE4F32" w:rsidRDefault="0002572A" w:rsidP="00097603">
            <w:pPr>
              <w:pStyle w:val="Numbered"/>
              <w:numPr>
                <w:ilvl w:val="0"/>
                <w:numId w:val="0"/>
              </w:numPr>
              <w:spacing w:before="0" w:after="120"/>
            </w:pPr>
            <w:r>
              <w:t>Code obligations apply to all buying functions associated with the major grocery retailer (including buying done at the store-level by owner-operated and franchisee stores). Other obligations apply to the major grocery retailer ‘head office’ (eg dispute resolution).</w:t>
            </w:r>
          </w:p>
        </w:tc>
        <w:tc>
          <w:tcPr>
            <w:tcW w:w="1584" w:type="pct"/>
            <w:shd w:val="clear" w:color="auto" w:fill="B3D0D5"/>
          </w:tcPr>
          <w:p w14:paraId="4D3711BC" w14:textId="77777777" w:rsidR="0002572A" w:rsidRDefault="0002572A" w:rsidP="00097603">
            <w:pPr>
              <w:pStyle w:val="Numbered"/>
              <w:numPr>
                <w:ilvl w:val="0"/>
                <w:numId w:val="0"/>
              </w:numPr>
              <w:spacing w:before="0" w:after="120"/>
            </w:pPr>
            <w:r>
              <w:t>Option A plus a threshold to exempt buying done at the store-level by smaller retail stores (under 250 square metres store floor size).</w:t>
            </w:r>
          </w:p>
          <w:p w14:paraId="54B03A41" w14:textId="77777777" w:rsidR="0002572A" w:rsidRPr="007E57F6" w:rsidRDefault="0002572A" w:rsidP="00097603">
            <w:pPr>
              <w:pStyle w:val="Numbered"/>
              <w:numPr>
                <w:ilvl w:val="0"/>
                <w:numId w:val="0"/>
              </w:numPr>
              <w:spacing w:before="0" w:after="120"/>
            </w:pPr>
            <w:r>
              <w:t xml:space="preserve">These smaller stores would not be required to comply with the Code in any direct buying from suppliers. </w:t>
            </w:r>
          </w:p>
        </w:tc>
        <w:tc>
          <w:tcPr>
            <w:tcW w:w="1666" w:type="pct"/>
            <w:shd w:val="clear" w:color="auto" w:fill="B3D0D5"/>
          </w:tcPr>
          <w:p w14:paraId="07B7AB1B" w14:textId="77777777" w:rsidR="0002572A" w:rsidRDefault="0002572A" w:rsidP="00097603">
            <w:pPr>
              <w:pStyle w:val="Numbered"/>
              <w:numPr>
                <w:ilvl w:val="0"/>
                <w:numId w:val="0"/>
              </w:numPr>
              <w:spacing w:before="0" w:after="120"/>
            </w:pPr>
            <w:r>
              <w:t>All obligations in the Code apply to the ‘head office’ of the major grocery retailer, which is required to ensure all activity associated with its business (including that of owner-operated and franchisee stores) complies with the Code, as appropriate.</w:t>
            </w:r>
          </w:p>
        </w:tc>
      </w:tr>
    </w:tbl>
    <w:p w14:paraId="28BC568C" w14:textId="77777777" w:rsidR="0002572A" w:rsidRDefault="0002572A" w:rsidP="0002572A">
      <w:pPr>
        <w:pStyle w:val="Numbered"/>
      </w:pPr>
      <w:bookmarkStart w:id="87" w:name="_Hlk103928740"/>
      <w:r>
        <w:t xml:space="preserve">In terms of coverage, </w:t>
      </w:r>
      <w:r w:rsidRPr="00DE4F32">
        <w:rPr>
          <w:b/>
          <w:bCs/>
        </w:rPr>
        <w:t>Option</w:t>
      </w:r>
      <w:r>
        <w:rPr>
          <w:b/>
          <w:bCs/>
        </w:rPr>
        <w:t>s</w:t>
      </w:r>
      <w:r w:rsidRPr="00DE4F32">
        <w:rPr>
          <w:b/>
          <w:bCs/>
        </w:rPr>
        <w:t xml:space="preserve"> A</w:t>
      </w:r>
      <w:r>
        <w:t xml:space="preserve"> </w:t>
      </w:r>
      <w:r w:rsidRPr="00DE4F32">
        <w:rPr>
          <w:b/>
          <w:bCs/>
        </w:rPr>
        <w:t>and</w:t>
      </w:r>
      <w:r>
        <w:t xml:space="preserve"> </w:t>
      </w:r>
      <w:r w:rsidRPr="00DE4F32">
        <w:rPr>
          <w:b/>
          <w:bCs/>
        </w:rPr>
        <w:t>C</w:t>
      </w:r>
      <w:r>
        <w:t xml:space="preserve"> would ensure that all trading relationships between suppliers and the major grocery retailers – whether centralised ‘head office’ or retail store – are covered. </w:t>
      </w:r>
      <w:r w:rsidRPr="00DE4F32">
        <w:rPr>
          <w:b/>
          <w:bCs/>
        </w:rPr>
        <w:t>Option B</w:t>
      </w:r>
      <w:r>
        <w:t xml:space="preserve"> has reduced coverage because some smaller stores would be exempt in relation to store-level buying. </w:t>
      </w:r>
    </w:p>
    <w:p w14:paraId="5C510F53" w14:textId="77777777" w:rsidR="0002572A" w:rsidRDefault="0002572A" w:rsidP="0002572A">
      <w:pPr>
        <w:pStyle w:val="Numbered"/>
      </w:pPr>
      <w:r>
        <w:lastRenderedPageBreak/>
        <w:t xml:space="preserve">A key difference is between </w:t>
      </w:r>
      <w:r w:rsidRPr="00DE4F32">
        <w:rPr>
          <w:b/>
          <w:bCs/>
        </w:rPr>
        <w:t>Options A and B</w:t>
      </w:r>
      <w:r>
        <w:t xml:space="preserve"> on the one hand and </w:t>
      </w:r>
      <w:r w:rsidRPr="004E46CC">
        <w:rPr>
          <w:b/>
          <w:bCs/>
        </w:rPr>
        <w:t>Option C</w:t>
      </w:r>
      <w:r>
        <w:t xml:space="preserve"> on the other. Both </w:t>
      </w:r>
      <w:r w:rsidRPr="005D1143">
        <w:rPr>
          <w:b/>
          <w:bCs/>
        </w:rPr>
        <w:t>Options A and B</w:t>
      </w:r>
      <w:r>
        <w:t xml:space="preserve"> apply some obligations to individual stores as well as to the head office, whereas </w:t>
      </w:r>
      <w:r w:rsidRPr="00DE4F32">
        <w:rPr>
          <w:b/>
          <w:bCs/>
        </w:rPr>
        <w:t>Option C</w:t>
      </w:r>
      <w:r>
        <w:t xml:space="preserve"> centralises the obligations at the head office. </w:t>
      </w:r>
      <w:r w:rsidRPr="00DE4F32">
        <w:rPr>
          <w:b/>
          <w:bCs/>
        </w:rPr>
        <w:t>Options A and B</w:t>
      </w:r>
      <w:r>
        <w:t xml:space="preserve"> should be most effective because they directly place obligations on individual stores, but they could be less efficient because they may duplicate compliance obligations under the Code, resulting in higher costs. By comparison, </w:t>
      </w:r>
      <w:r>
        <w:rPr>
          <w:b/>
          <w:bCs/>
        </w:rPr>
        <w:t xml:space="preserve">Option C </w:t>
      </w:r>
      <w:r>
        <w:t>allows for the head office to achieve efficiencies across the entire business.</w:t>
      </w:r>
    </w:p>
    <w:p w14:paraId="2CC5D485" w14:textId="77777777" w:rsidR="0002572A" w:rsidRDefault="0002572A" w:rsidP="0002572A">
      <w:pPr>
        <w:pStyle w:val="Numbered"/>
      </w:pPr>
      <w:r>
        <w:t xml:space="preserve">All options are similarly durable and should not allow the major grocery retailers to avoid compliance with the Code via any novel commercial arrangements. </w:t>
      </w:r>
    </w:p>
    <w:p w14:paraId="16BBD7B8" w14:textId="662749F6" w:rsidR="00AC67AF" w:rsidRDefault="00AC67AF" w:rsidP="00D6326D">
      <w:pPr>
        <w:pStyle w:val="Heading2"/>
        <w:tabs>
          <w:tab w:val="left" w:pos="567"/>
        </w:tabs>
      </w:pPr>
      <w:bookmarkStart w:id="88" w:name="_Toc107919627"/>
      <w:bookmarkEnd w:id="87"/>
      <w:r>
        <w:t>3.</w:t>
      </w:r>
      <w:r w:rsidR="00531897">
        <w:t>5</w:t>
      </w:r>
      <w:r w:rsidR="00D6326D">
        <w:tab/>
      </w:r>
      <w:r w:rsidR="00861D0E">
        <w:t>Preliminary o</w:t>
      </w:r>
      <w:r>
        <w:t>ptions analysis</w:t>
      </w:r>
      <w:bookmarkEnd w:id="86"/>
      <w:bookmarkEnd w:id="88"/>
    </w:p>
    <w:tbl>
      <w:tblPr>
        <w:tblStyle w:val="TableGrid"/>
        <w:tblW w:w="9356"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CellMar>
          <w:top w:w="85" w:type="dxa"/>
          <w:bottom w:w="85" w:type="dxa"/>
        </w:tblCellMar>
        <w:tblLook w:val="04A0" w:firstRow="1" w:lastRow="0" w:firstColumn="1" w:lastColumn="0" w:noHBand="0" w:noVBand="1"/>
      </w:tblPr>
      <w:tblGrid>
        <w:gridCol w:w="1011"/>
        <w:gridCol w:w="2692"/>
        <w:gridCol w:w="2974"/>
        <w:gridCol w:w="2679"/>
      </w:tblGrid>
      <w:tr w:rsidR="0089435B" w:rsidRPr="00D17979" w14:paraId="1254B25C" w14:textId="3D458DBE" w:rsidTr="00DD49DF">
        <w:tc>
          <w:tcPr>
            <w:tcW w:w="1011" w:type="dxa"/>
            <w:tcBorders>
              <w:bottom w:val="nil"/>
            </w:tcBorders>
            <w:shd w:val="clear" w:color="auto" w:fill="D9D9D9" w:themeFill="background1" w:themeFillShade="D9"/>
          </w:tcPr>
          <w:p w14:paraId="47ACE230" w14:textId="77777777" w:rsidR="0089435B" w:rsidRPr="005239EF" w:rsidRDefault="0089435B" w:rsidP="0089435B">
            <w:pPr>
              <w:pStyle w:val="Numbered"/>
              <w:numPr>
                <w:ilvl w:val="0"/>
                <w:numId w:val="0"/>
              </w:numPr>
              <w:spacing w:before="0"/>
              <w:rPr>
                <w:b/>
                <w:bCs/>
              </w:rPr>
            </w:pPr>
          </w:p>
        </w:tc>
        <w:tc>
          <w:tcPr>
            <w:tcW w:w="2692" w:type="dxa"/>
            <w:shd w:val="clear" w:color="auto" w:fill="D9D9D9" w:themeFill="background1" w:themeFillShade="D9"/>
          </w:tcPr>
          <w:p w14:paraId="0F3C0877" w14:textId="77777777" w:rsidR="006112A1" w:rsidRDefault="0089435B" w:rsidP="0089435B">
            <w:pPr>
              <w:pStyle w:val="Numbered"/>
              <w:numPr>
                <w:ilvl w:val="0"/>
                <w:numId w:val="0"/>
              </w:numPr>
              <w:spacing w:before="0"/>
            </w:pPr>
            <w:r>
              <w:rPr>
                <w:b/>
                <w:bCs/>
              </w:rPr>
              <w:t>Designation Option A</w:t>
            </w:r>
            <w:r>
              <w:t xml:space="preserve"> </w:t>
            </w:r>
          </w:p>
          <w:p w14:paraId="01299213" w14:textId="77777777" w:rsidR="006112A1" w:rsidRPr="006112A1" w:rsidRDefault="006112A1" w:rsidP="006112A1">
            <w:pPr>
              <w:pStyle w:val="Numbered"/>
              <w:numPr>
                <w:ilvl w:val="0"/>
                <w:numId w:val="0"/>
              </w:numPr>
              <w:spacing w:before="0"/>
              <w:rPr>
                <w:sz w:val="20"/>
                <w:szCs w:val="20"/>
              </w:rPr>
            </w:pPr>
            <w:r w:rsidRPr="006112A1">
              <w:rPr>
                <w:sz w:val="20"/>
                <w:szCs w:val="20"/>
              </w:rPr>
              <w:t xml:space="preserve">Designate major grocery retailers. </w:t>
            </w:r>
          </w:p>
          <w:p w14:paraId="32D5824C" w14:textId="77777777" w:rsidR="006112A1" w:rsidRPr="006112A1" w:rsidRDefault="006112A1" w:rsidP="006112A1">
            <w:pPr>
              <w:pStyle w:val="Numbered"/>
              <w:numPr>
                <w:ilvl w:val="0"/>
                <w:numId w:val="0"/>
              </w:numPr>
              <w:spacing w:before="0"/>
              <w:rPr>
                <w:sz w:val="20"/>
                <w:szCs w:val="20"/>
                <w:u w:val="single"/>
              </w:rPr>
            </w:pPr>
            <w:r w:rsidRPr="006112A1">
              <w:rPr>
                <w:sz w:val="20"/>
                <w:szCs w:val="20"/>
                <w:u w:val="single"/>
              </w:rPr>
              <w:t>Future mechanism:</w:t>
            </w:r>
          </w:p>
          <w:p w14:paraId="03474F31" w14:textId="43F47B92" w:rsidR="0089435B" w:rsidRDefault="0089435B" w:rsidP="0089435B">
            <w:pPr>
              <w:pStyle w:val="Numbered"/>
              <w:numPr>
                <w:ilvl w:val="0"/>
                <w:numId w:val="0"/>
              </w:numPr>
              <w:spacing w:before="0"/>
              <w:rPr>
                <w:b/>
                <w:bCs/>
              </w:rPr>
            </w:pPr>
            <w:r w:rsidRPr="006112A1">
              <w:rPr>
                <w:sz w:val="20"/>
                <w:szCs w:val="20"/>
              </w:rPr>
              <w:t xml:space="preserve">$500m </w:t>
            </w:r>
            <w:r w:rsidR="007F62F1" w:rsidRPr="006112A1">
              <w:rPr>
                <w:sz w:val="20"/>
                <w:szCs w:val="20"/>
              </w:rPr>
              <w:t>revenue</w:t>
            </w:r>
          </w:p>
        </w:tc>
        <w:tc>
          <w:tcPr>
            <w:tcW w:w="2974" w:type="dxa"/>
            <w:shd w:val="clear" w:color="auto" w:fill="D9D9D9" w:themeFill="background1" w:themeFillShade="D9"/>
          </w:tcPr>
          <w:p w14:paraId="04C708A7" w14:textId="77777777" w:rsidR="006112A1" w:rsidRPr="006112A1" w:rsidRDefault="0089435B" w:rsidP="006112A1">
            <w:pPr>
              <w:pStyle w:val="Numbered"/>
              <w:numPr>
                <w:ilvl w:val="0"/>
                <w:numId w:val="0"/>
              </w:numPr>
              <w:spacing w:before="0"/>
              <w:rPr>
                <w:sz w:val="20"/>
                <w:szCs w:val="20"/>
              </w:rPr>
            </w:pPr>
            <w:r>
              <w:rPr>
                <w:b/>
                <w:bCs/>
              </w:rPr>
              <w:t xml:space="preserve">Designation Option B </w:t>
            </w:r>
            <w:r>
              <w:rPr>
                <w:b/>
                <w:bCs/>
              </w:rPr>
              <w:br/>
            </w:r>
            <w:r w:rsidR="006112A1" w:rsidRPr="006112A1">
              <w:rPr>
                <w:sz w:val="20"/>
                <w:szCs w:val="20"/>
              </w:rPr>
              <w:t xml:space="preserve">Designate major grocery retailers. </w:t>
            </w:r>
          </w:p>
          <w:p w14:paraId="62A3B09A" w14:textId="77777777" w:rsidR="006112A1" w:rsidRPr="006112A1" w:rsidRDefault="006112A1" w:rsidP="006112A1">
            <w:pPr>
              <w:pStyle w:val="Numbered"/>
              <w:numPr>
                <w:ilvl w:val="0"/>
                <w:numId w:val="0"/>
              </w:numPr>
              <w:spacing w:before="0"/>
              <w:rPr>
                <w:sz w:val="20"/>
                <w:szCs w:val="20"/>
                <w:u w:val="single"/>
              </w:rPr>
            </w:pPr>
            <w:r w:rsidRPr="006112A1">
              <w:rPr>
                <w:sz w:val="20"/>
                <w:szCs w:val="20"/>
                <w:u w:val="single"/>
              </w:rPr>
              <w:t>Future mechanism:</w:t>
            </w:r>
          </w:p>
          <w:p w14:paraId="61B5B103" w14:textId="3CBAFE27" w:rsidR="0089435B" w:rsidRPr="00594084" w:rsidRDefault="0089435B" w:rsidP="0089435B">
            <w:pPr>
              <w:pStyle w:val="Numbered"/>
              <w:numPr>
                <w:ilvl w:val="0"/>
                <w:numId w:val="0"/>
              </w:numPr>
              <w:spacing w:before="0"/>
            </w:pPr>
            <w:r w:rsidRPr="0089435B">
              <w:rPr>
                <w:sz w:val="20"/>
                <w:szCs w:val="20"/>
              </w:rPr>
              <w:t xml:space="preserve">$750m </w:t>
            </w:r>
            <w:r w:rsidR="007F62F1" w:rsidRPr="007F62F1">
              <w:rPr>
                <w:sz w:val="20"/>
                <w:szCs w:val="20"/>
              </w:rPr>
              <w:t>revenue</w:t>
            </w:r>
            <w:r w:rsidR="007F62F1" w:rsidRPr="007F62F1" w:rsidDel="007F62F1">
              <w:rPr>
                <w:sz w:val="20"/>
                <w:szCs w:val="20"/>
              </w:rPr>
              <w:t xml:space="preserve"> </w:t>
            </w:r>
            <w:r w:rsidR="004F6A76">
              <w:rPr>
                <w:sz w:val="20"/>
                <w:szCs w:val="20"/>
              </w:rPr>
              <w:t>annually</w:t>
            </w:r>
            <w:r w:rsidRPr="0089435B">
              <w:rPr>
                <w:sz w:val="20"/>
                <w:szCs w:val="20"/>
              </w:rPr>
              <w:t xml:space="preserve"> for two </w:t>
            </w:r>
            <w:r w:rsidR="006C6400">
              <w:rPr>
                <w:sz w:val="20"/>
                <w:szCs w:val="20"/>
              </w:rPr>
              <w:t xml:space="preserve">sequential </w:t>
            </w:r>
            <w:r w:rsidRPr="0089435B">
              <w:rPr>
                <w:sz w:val="20"/>
                <w:szCs w:val="20"/>
              </w:rPr>
              <w:t xml:space="preserve">years plus </w:t>
            </w:r>
            <w:r w:rsidR="006C6400">
              <w:rPr>
                <w:sz w:val="20"/>
                <w:szCs w:val="20"/>
              </w:rPr>
              <w:t>discretion</w:t>
            </w:r>
            <w:r w:rsidR="006C6400" w:rsidRPr="0089435B">
              <w:rPr>
                <w:sz w:val="20"/>
                <w:szCs w:val="20"/>
              </w:rPr>
              <w:t xml:space="preserve"> </w:t>
            </w:r>
            <w:r w:rsidRPr="0089435B">
              <w:rPr>
                <w:sz w:val="20"/>
                <w:szCs w:val="20"/>
              </w:rPr>
              <w:t>to designate following investigation</w:t>
            </w:r>
            <w:r w:rsidRPr="0089435B">
              <w:rPr>
                <w:b/>
                <w:bCs/>
                <w:sz w:val="20"/>
                <w:szCs w:val="20"/>
              </w:rPr>
              <w:t xml:space="preserve"> </w:t>
            </w:r>
          </w:p>
        </w:tc>
        <w:tc>
          <w:tcPr>
            <w:tcW w:w="2679" w:type="dxa"/>
            <w:shd w:val="clear" w:color="auto" w:fill="D9D9D9" w:themeFill="background1" w:themeFillShade="D9"/>
          </w:tcPr>
          <w:p w14:paraId="6CB501D2" w14:textId="77777777" w:rsidR="006112A1" w:rsidRPr="006112A1" w:rsidRDefault="0089435B" w:rsidP="006112A1">
            <w:pPr>
              <w:pStyle w:val="Numbered"/>
              <w:numPr>
                <w:ilvl w:val="0"/>
                <w:numId w:val="0"/>
              </w:numPr>
              <w:spacing w:before="0"/>
              <w:rPr>
                <w:sz w:val="20"/>
                <w:szCs w:val="20"/>
              </w:rPr>
            </w:pPr>
            <w:r>
              <w:rPr>
                <w:b/>
                <w:bCs/>
              </w:rPr>
              <w:t xml:space="preserve">Designation Option C </w:t>
            </w:r>
            <w:r>
              <w:rPr>
                <w:b/>
                <w:bCs/>
              </w:rPr>
              <w:br/>
            </w:r>
            <w:r w:rsidR="006112A1" w:rsidRPr="006112A1">
              <w:rPr>
                <w:sz w:val="20"/>
                <w:szCs w:val="20"/>
              </w:rPr>
              <w:t xml:space="preserve">Designate major grocery retailers. </w:t>
            </w:r>
          </w:p>
          <w:p w14:paraId="7713C574" w14:textId="77777777" w:rsidR="006112A1" w:rsidRPr="006112A1" w:rsidRDefault="006112A1" w:rsidP="006112A1">
            <w:pPr>
              <w:pStyle w:val="Numbered"/>
              <w:numPr>
                <w:ilvl w:val="0"/>
                <w:numId w:val="0"/>
              </w:numPr>
              <w:spacing w:before="0"/>
              <w:rPr>
                <w:sz w:val="20"/>
                <w:szCs w:val="20"/>
                <w:u w:val="single"/>
              </w:rPr>
            </w:pPr>
            <w:r w:rsidRPr="006112A1">
              <w:rPr>
                <w:sz w:val="20"/>
                <w:szCs w:val="20"/>
                <w:u w:val="single"/>
              </w:rPr>
              <w:t>Future mechanism:</w:t>
            </w:r>
          </w:p>
          <w:p w14:paraId="305B7BFB" w14:textId="4C8AF032" w:rsidR="0089435B" w:rsidRDefault="0089435B" w:rsidP="0089435B">
            <w:pPr>
              <w:pStyle w:val="Numbered"/>
              <w:numPr>
                <w:ilvl w:val="0"/>
                <w:numId w:val="0"/>
              </w:numPr>
              <w:spacing w:before="0"/>
              <w:rPr>
                <w:b/>
                <w:bCs/>
              </w:rPr>
            </w:pPr>
            <w:r w:rsidRPr="0089435B">
              <w:rPr>
                <w:sz w:val="20"/>
                <w:szCs w:val="20"/>
              </w:rPr>
              <w:t xml:space="preserve">$1.5b </w:t>
            </w:r>
            <w:r w:rsidR="007F62F1" w:rsidRPr="007F62F1">
              <w:rPr>
                <w:sz w:val="20"/>
                <w:szCs w:val="20"/>
              </w:rPr>
              <w:t>revenue</w:t>
            </w:r>
            <w:r w:rsidR="007F62F1" w:rsidRPr="007F62F1" w:rsidDel="007F62F1">
              <w:rPr>
                <w:sz w:val="20"/>
                <w:szCs w:val="20"/>
              </w:rPr>
              <w:t xml:space="preserve"> </w:t>
            </w:r>
            <w:r w:rsidRPr="0089435B">
              <w:rPr>
                <w:sz w:val="20"/>
                <w:szCs w:val="20"/>
              </w:rPr>
              <w:t xml:space="preserve">plus </w:t>
            </w:r>
            <w:r w:rsidR="006C6400">
              <w:rPr>
                <w:sz w:val="20"/>
                <w:szCs w:val="20"/>
              </w:rPr>
              <w:t>discretion</w:t>
            </w:r>
            <w:r w:rsidR="006C6400" w:rsidRPr="0089435B">
              <w:rPr>
                <w:sz w:val="20"/>
                <w:szCs w:val="20"/>
              </w:rPr>
              <w:t xml:space="preserve"> </w:t>
            </w:r>
            <w:r w:rsidRPr="0089435B">
              <w:rPr>
                <w:sz w:val="20"/>
                <w:szCs w:val="20"/>
              </w:rPr>
              <w:t>to designate following investigation</w:t>
            </w:r>
          </w:p>
        </w:tc>
      </w:tr>
      <w:tr w:rsidR="006C6400" w:rsidRPr="00D17979" w14:paraId="43B9A710" w14:textId="40B00A60" w:rsidTr="00DD49DF">
        <w:tc>
          <w:tcPr>
            <w:tcW w:w="1011" w:type="dxa"/>
            <w:shd w:val="clear" w:color="auto" w:fill="D9D9D9" w:themeFill="background1" w:themeFillShade="D9"/>
          </w:tcPr>
          <w:p w14:paraId="736D9CE4" w14:textId="473E2F90" w:rsidR="006C6400" w:rsidRDefault="006C6400" w:rsidP="006C6400">
            <w:pPr>
              <w:pStyle w:val="Numbered"/>
              <w:numPr>
                <w:ilvl w:val="0"/>
                <w:numId w:val="0"/>
              </w:numPr>
              <w:spacing w:before="0"/>
              <w:rPr>
                <w:b/>
                <w:bCs/>
              </w:rPr>
            </w:pPr>
            <w:r>
              <w:rPr>
                <w:b/>
                <w:bCs/>
              </w:rPr>
              <w:t>Effective</w:t>
            </w:r>
          </w:p>
        </w:tc>
        <w:tc>
          <w:tcPr>
            <w:tcW w:w="2692" w:type="dxa"/>
            <w:shd w:val="clear" w:color="auto" w:fill="D9D9D9" w:themeFill="background1" w:themeFillShade="D9"/>
          </w:tcPr>
          <w:p w14:paraId="6ED5A556" w14:textId="0F844DCE" w:rsidR="006C6400" w:rsidRPr="002526E0" w:rsidRDefault="006C6400" w:rsidP="006C6400">
            <w:pPr>
              <w:pStyle w:val="Numbered"/>
              <w:numPr>
                <w:ilvl w:val="0"/>
                <w:numId w:val="0"/>
              </w:numPr>
              <w:spacing w:before="0"/>
              <w:rPr>
                <w:sz w:val="20"/>
                <w:szCs w:val="20"/>
              </w:rPr>
            </w:pPr>
            <w:r w:rsidRPr="002526E0">
              <w:rPr>
                <w:sz w:val="20"/>
                <w:szCs w:val="20"/>
              </w:rPr>
              <w:t>+</w:t>
            </w:r>
            <w:r w:rsidR="00ED4E52">
              <w:rPr>
                <w:sz w:val="20"/>
                <w:szCs w:val="20"/>
              </w:rPr>
              <w:t>2</w:t>
            </w:r>
          </w:p>
          <w:p w14:paraId="5FE0F59F" w14:textId="77777777" w:rsidR="006C6400" w:rsidRDefault="006C6400" w:rsidP="006C6400">
            <w:pPr>
              <w:pStyle w:val="Numbered"/>
              <w:numPr>
                <w:ilvl w:val="0"/>
                <w:numId w:val="0"/>
              </w:numPr>
              <w:spacing w:before="0"/>
              <w:rPr>
                <w:sz w:val="20"/>
                <w:szCs w:val="20"/>
              </w:rPr>
            </w:pPr>
            <w:r>
              <w:rPr>
                <w:sz w:val="20"/>
                <w:szCs w:val="20"/>
              </w:rPr>
              <w:t xml:space="preserve">Relatively low threshold means a new entrant will be required to comply with the Code sooner. This benefits suppliers and helps to ensure the market is working well. </w:t>
            </w:r>
          </w:p>
          <w:p w14:paraId="4BDAC4CE" w14:textId="28329F3D" w:rsidR="00ED4E52" w:rsidRPr="002526E0" w:rsidRDefault="00ED4E52" w:rsidP="006C6400">
            <w:pPr>
              <w:pStyle w:val="Numbered"/>
              <w:numPr>
                <w:ilvl w:val="0"/>
                <w:numId w:val="0"/>
              </w:numPr>
              <w:spacing w:before="0"/>
              <w:rPr>
                <w:sz w:val="20"/>
                <w:szCs w:val="20"/>
              </w:rPr>
            </w:pPr>
            <w:r>
              <w:rPr>
                <w:sz w:val="20"/>
                <w:szCs w:val="20"/>
              </w:rPr>
              <w:t>The lack of an investigation reduces effectiveness of the approach to deal with ‘smaller’ retailers that develop power over suppliers.</w:t>
            </w:r>
          </w:p>
        </w:tc>
        <w:tc>
          <w:tcPr>
            <w:tcW w:w="2974" w:type="dxa"/>
            <w:shd w:val="clear" w:color="auto" w:fill="D9D9D9" w:themeFill="background1" w:themeFillShade="D9"/>
          </w:tcPr>
          <w:p w14:paraId="79481384" w14:textId="39B8691B" w:rsidR="006C6400" w:rsidRDefault="006C6400" w:rsidP="006C6400">
            <w:pPr>
              <w:pStyle w:val="Numbered"/>
              <w:numPr>
                <w:ilvl w:val="0"/>
                <w:numId w:val="0"/>
              </w:numPr>
              <w:spacing w:before="0"/>
              <w:rPr>
                <w:sz w:val="20"/>
                <w:szCs w:val="20"/>
              </w:rPr>
            </w:pPr>
            <w:r>
              <w:rPr>
                <w:sz w:val="20"/>
                <w:szCs w:val="20"/>
              </w:rPr>
              <w:t>+</w:t>
            </w:r>
            <w:r w:rsidR="00F1432A">
              <w:rPr>
                <w:sz w:val="20"/>
                <w:szCs w:val="20"/>
              </w:rPr>
              <w:t>2</w:t>
            </w:r>
          </w:p>
          <w:p w14:paraId="5D21B84C" w14:textId="77777777" w:rsidR="006C6400" w:rsidRDefault="006C6400" w:rsidP="004B5F4B">
            <w:pPr>
              <w:pStyle w:val="Numbered"/>
              <w:numPr>
                <w:ilvl w:val="0"/>
                <w:numId w:val="0"/>
              </w:numPr>
              <w:spacing w:before="0" w:after="120"/>
              <w:rPr>
                <w:sz w:val="20"/>
                <w:szCs w:val="20"/>
              </w:rPr>
            </w:pPr>
            <w:r>
              <w:rPr>
                <w:sz w:val="20"/>
                <w:szCs w:val="20"/>
              </w:rPr>
              <w:t xml:space="preserve">Threshold means a new entrant will have to comply with the code when they reach and sustain a more moderate size (compared to </w:t>
            </w:r>
            <w:r w:rsidRPr="00CA5AB0">
              <w:rPr>
                <w:b/>
                <w:bCs/>
                <w:sz w:val="20"/>
                <w:szCs w:val="20"/>
              </w:rPr>
              <w:t>Option A</w:t>
            </w:r>
            <w:r>
              <w:rPr>
                <w:sz w:val="20"/>
                <w:szCs w:val="20"/>
              </w:rPr>
              <w:t xml:space="preserve">). </w:t>
            </w:r>
          </w:p>
          <w:p w14:paraId="22BCE569" w14:textId="725D23D5" w:rsidR="006C6400" w:rsidRPr="002526E0" w:rsidRDefault="006C6400" w:rsidP="004B5F4B">
            <w:pPr>
              <w:pStyle w:val="Numbered"/>
              <w:numPr>
                <w:ilvl w:val="0"/>
                <w:numId w:val="0"/>
              </w:numPr>
              <w:spacing w:before="0" w:after="120"/>
              <w:rPr>
                <w:sz w:val="20"/>
                <w:szCs w:val="20"/>
              </w:rPr>
            </w:pPr>
            <w:r>
              <w:rPr>
                <w:sz w:val="20"/>
                <w:szCs w:val="20"/>
              </w:rPr>
              <w:t xml:space="preserve">Discretion (investigation and self-designation) improves effectiveness and protections for suppliers. </w:t>
            </w:r>
          </w:p>
        </w:tc>
        <w:tc>
          <w:tcPr>
            <w:tcW w:w="2679" w:type="dxa"/>
            <w:shd w:val="clear" w:color="auto" w:fill="D9D9D9" w:themeFill="background1" w:themeFillShade="D9"/>
          </w:tcPr>
          <w:p w14:paraId="37498A03" w14:textId="1E60F124" w:rsidR="006C6400" w:rsidRPr="002526E0" w:rsidRDefault="006C6400" w:rsidP="006C6400">
            <w:pPr>
              <w:pStyle w:val="Numbered"/>
              <w:numPr>
                <w:ilvl w:val="0"/>
                <w:numId w:val="0"/>
              </w:numPr>
              <w:spacing w:before="0"/>
              <w:rPr>
                <w:sz w:val="20"/>
                <w:szCs w:val="20"/>
              </w:rPr>
            </w:pPr>
            <w:r w:rsidRPr="002526E0">
              <w:rPr>
                <w:sz w:val="20"/>
                <w:szCs w:val="20"/>
              </w:rPr>
              <w:t>+</w:t>
            </w:r>
            <w:r>
              <w:rPr>
                <w:sz w:val="20"/>
                <w:szCs w:val="20"/>
              </w:rPr>
              <w:t>1</w:t>
            </w:r>
          </w:p>
          <w:p w14:paraId="1B405994" w14:textId="77777777" w:rsidR="006C6400" w:rsidRDefault="006C6400" w:rsidP="004B5F4B">
            <w:pPr>
              <w:pStyle w:val="Numbered"/>
              <w:numPr>
                <w:ilvl w:val="0"/>
                <w:numId w:val="0"/>
              </w:numPr>
              <w:spacing w:before="0" w:after="120"/>
              <w:rPr>
                <w:sz w:val="20"/>
                <w:szCs w:val="20"/>
              </w:rPr>
            </w:pPr>
            <w:r>
              <w:rPr>
                <w:sz w:val="20"/>
                <w:szCs w:val="20"/>
              </w:rPr>
              <w:t>Relatively high threshold means a new entrant will be required to comply with the Code later.</w:t>
            </w:r>
          </w:p>
          <w:p w14:paraId="3C8AD593" w14:textId="22D1D0DD" w:rsidR="006C6400" w:rsidRPr="002526E0" w:rsidRDefault="006C6400" w:rsidP="004B5F4B">
            <w:pPr>
              <w:pStyle w:val="Numbered"/>
              <w:numPr>
                <w:ilvl w:val="0"/>
                <w:numId w:val="0"/>
              </w:numPr>
              <w:spacing w:before="0" w:after="120"/>
              <w:rPr>
                <w:sz w:val="20"/>
                <w:szCs w:val="20"/>
              </w:rPr>
            </w:pPr>
            <w:r>
              <w:rPr>
                <w:sz w:val="20"/>
                <w:szCs w:val="20"/>
              </w:rPr>
              <w:t>Discretion (investigation and self-designation) improves effectiveness and protections for suppliers.</w:t>
            </w:r>
          </w:p>
        </w:tc>
      </w:tr>
      <w:tr w:rsidR="00DD49DF" w:rsidRPr="00D17979" w14:paraId="312DB89E" w14:textId="353033EE" w:rsidTr="00DD49DF">
        <w:tc>
          <w:tcPr>
            <w:tcW w:w="1011" w:type="dxa"/>
            <w:shd w:val="clear" w:color="auto" w:fill="D9D9D9" w:themeFill="background1" w:themeFillShade="D9"/>
          </w:tcPr>
          <w:p w14:paraId="6D079D10" w14:textId="37B37E74" w:rsidR="00DD49DF" w:rsidRDefault="00DD49DF" w:rsidP="00DD49DF">
            <w:pPr>
              <w:pStyle w:val="Numbered"/>
              <w:numPr>
                <w:ilvl w:val="0"/>
                <w:numId w:val="0"/>
              </w:numPr>
              <w:spacing w:before="0"/>
              <w:rPr>
                <w:b/>
                <w:bCs/>
              </w:rPr>
            </w:pPr>
            <w:r>
              <w:rPr>
                <w:b/>
                <w:bCs/>
              </w:rPr>
              <w:t>Efficient</w:t>
            </w:r>
          </w:p>
        </w:tc>
        <w:tc>
          <w:tcPr>
            <w:tcW w:w="2692" w:type="dxa"/>
            <w:shd w:val="clear" w:color="auto" w:fill="D9D9D9" w:themeFill="background1" w:themeFillShade="D9"/>
          </w:tcPr>
          <w:p w14:paraId="2E7F82D6" w14:textId="02A9C07B" w:rsidR="00DD49DF" w:rsidRPr="002526E0" w:rsidRDefault="00DD49DF" w:rsidP="00DD49DF">
            <w:pPr>
              <w:pStyle w:val="Numbered"/>
              <w:numPr>
                <w:ilvl w:val="0"/>
                <w:numId w:val="0"/>
              </w:numPr>
              <w:spacing w:before="0"/>
              <w:rPr>
                <w:sz w:val="20"/>
                <w:szCs w:val="20"/>
              </w:rPr>
            </w:pPr>
            <w:r>
              <w:rPr>
                <w:sz w:val="20"/>
                <w:szCs w:val="20"/>
              </w:rPr>
              <w:t>-2</w:t>
            </w:r>
            <w:r w:rsidR="00ED4E52">
              <w:rPr>
                <w:sz w:val="20"/>
                <w:szCs w:val="20"/>
              </w:rPr>
              <w:t>.5</w:t>
            </w:r>
          </w:p>
          <w:p w14:paraId="6CCB2308" w14:textId="6C2533F3" w:rsidR="00DD49DF" w:rsidRPr="002526E0" w:rsidRDefault="00DD49DF" w:rsidP="00DD49DF">
            <w:pPr>
              <w:pStyle w:val="Numbered"/>
              <w:numPr>
                <w:ilvl w:val="0"/>
                <w:numId w:val="0"/>
              </w:numPr>
              <w:spacing w:before="0"/>
              <w:rPr>
                <w:sz w:val="20"/>
                <w:szCs w:val="20"/>
              </w:rPr>
            </w:pPr>
            <w:r>
              <w:rPr>
                <w:sz w:val="20"/>
                <w:szCs w:val="20"/>
              </w:rPr>
              <w:t xml:space="preserve">New entrants will face compliance costs sooner. </w:t>
            </w:r>
          </w:p>
        </w:tc>
        <w:tc>
          <w:tcPr>
            <w:tcW w:w="2974" w:type="dxa"/>
            <w:shd w:val="clear" w:color="auto" w:fill="D9D9D9" w:themeFill="background1" w:themeFillShade="D9"/>
          </w:tcPr>
          <w:p w14:paraId="37AE610D" w14:textId="404B9757" w:rsidR="00DD49DF" w:rsidRPr="002526E0" w:rsidRDefault="00DD49DF" w:rsidP="00DD49DF">
            <w:pPr>
              <w:pStyle w:val="Numbered"/>
              <w:numPr>
                <w:ilvl w:val="0"/>
                <w:numId w:val="0"/>
              </w:numPr>
              <w:spacing w:before="0"/>
              <w:rPr>
                <w:sz w:val="20"/>
                <w:szCs w:val="20"/>
              </w:rPr>
            </w:pPr>
            <w:r>
              <w:rPr>
                <w:sz w:val="20"/>
                <w:szCs w:val="20"/>
              </w:rPr>
              <w:t>-</w:t>
            </w:r>
            <w:r w:rsidR="00F1432A">
              <w:rPr>
                <w:sz w:val="20"/>
                <w:szCs w:val="20"/>
              </w:rPr>
              <w:t>2</w:t>
            </w:r>
          </w:p>
          <w:p w14:paraId="09E4FF95" w14:textId="37AF0627" w:rsidR="00DD49DF" w:rsidRPr="002526E0" w:rsidRDefault="00DD49DF" w:rsidP="00F1432A">
            <w:pPr>
              <w:pStyle w:val="Numbered"/>
              <w:numPr>
                <w:ilvl w:val="0"/>
                <w:numId w:val="0"/>
              </w:numPr>
              <w:spacing w:before="0"/>
              <w:rPr>
                <w:sz w:val="20"/>
                <w:szCs w:val="20"/>
              </w:rPr>
            </w:pPr>
            <w:r>
              <w:rPr>
                <w:sz w:val="20"/>
                <w:szCs w:val="20"/>
              </w:rPr>
              <w:t xml:space="preserve">Higher administrative costs </w:t>
            </w:r>
            <w:r w:rsidR="00F1432A">
              <w:rPr>
                <w:sz w:val="20"/>
                <w:szCs w:val="20"/>
              </w:rPr>
              <w:t xml:space="preserve">for government </w:t>
            </w:r>
            <w:r>
              <w:rPr>
                <w:sz w:val="20"/>
                <w:szCs w:val="20"/>
              </w:rPr>
              <w:t xml:space="preserve">with investigation process. </w:t>
            </w:r>
          </w:p>
        </w:tc>
        <w:tc>
          <w:tcPr>
            <w:tcW w:w="2679" w:type="dxa"/>
            <w:shd w:val="clear" w:color="auto" w:fill="D9D9D9" w:themeFill="background1" w:themeFillShade="D9"/>
          </w:tcPr>
          <w:p w14:paraId="263B5B70" w14:textId="21513C13" w:rsidR="00DD49DF" w:rsidRPr="002526E0" w:rsidRDefault="00DD49DF" w:rsidP="00DD49DF">
            <w:pPr>
              <w:pStyle w:val="Numbered"/>
              <w:numPr>
                <w:ilvl w:val="0"/>
                <w:numId w:val="0"/>
              </w:numPr>
              <w:spacing w:before="0"/>
              <w:rPr>
                <w:sz w:val="20"/>
                <w:szCs w:val="20"/>
              </w:rPr>
            </w:pPr>
            <w:r>
              <w:rPr>
                <w:sz w:val="20"/>
                <w:szCs w:val="20"/>
              </w:rPr>
              <w:t>-2</w:t>
            </w:r>
          </w:p>
          <w:p w14:paraId="4E2F9C2C" w14:textId="77777777" w:rsidR="00DD49DF" w:rsidRDefault="00DD49DF" w:rsidP="004B5F4B">
            <w:pPr>
              <w:pStyle w:val="Numbered"/>
              <w:numPr>
                <w:ilvl w:val="0"/>
                <w:numId w:val="0"/>
              </w:numPr>
              <w:spacing w:before="0" w:after="120"/>
              <w:rPr>
                <w:sz w:val="20"/>
                <w:szCs w:val="20"/>
              </w:rPr>
            </w:pPr>
            <w:r>
              <w:rPr>
                <w:sz w:val="20"/>
                <w:szCs w:val="20"/>
              </w:rPr>
              <w:t xml:space="preserve">Higher administrative costs with investigation process. </w:t>
            </w:r>
          </w:p>
          <w:p w14:paraId="15450EE6" w14:textId="33A0941E" w:rsidR="00DD49DF" w:rsidRPr="002526E0" w:rsidRDefault="00DD49DF" w:rsidP="004B5F4B">
            <w:pPr>
              <w:pStyle w:val="Numbered"/>
              <w:numPr>
                <w:ilvl w:val="0"/>
                <w:numId w:val="0"/>
              </w:numPr>
              <w:spacing w:before="0" w:after="120"/>
              <w:rPr>
                <w:sz w:val="20"/>
                <w:szCs w:val="20"/>
              </w:rPr>
            </w:pPr>
            <w:r>
              <w:rPr>
                <w:sz w:val="20"/>
                <w:szCs w:val="20"/>
              </w:rPr>
              <w:t>New entrants face compliance costs later.</w:t>
            </w:r>
          </w:p>
        </w:tc>
      </w:tr>
      <w:tr w:rsidR="0089435B" w:rsidRPr="00D17979" w14:paraId="384046DD" w14:textId="15595471" w:rsidTr="00DD49DF">
        <w:tc>
          <w:tcPr>
            <w:tcW w:w="1011" w:type="dxa"/>
            <w:shd w:val="clear" w:color="auto" w:fill="D9D9D9" w:themeFill="background1" w:themeFillShade="D9"/>
          </w:tcPr>
          <w:p w14:paraId="15CC5CDB" w14:textId="7C070B7E" w:rsidR="0089435B" w:rsidRPr="001604BA" w:rsidRDefault="0089435B" w:rsidP="0089435B">
            <w:pPr>
              <w:pStyle w:val="Numbered"/>
              <w:numPr>
                <w:ilvl w:val="0"/>
                <w:numId w:val="0"/>
              </w:numPr>
              <w:spacing w:before="0"/>
              <w:rPr>
                <w:b/>
                <w:bCs/>
              </w:rPr>
            </w:pPr>
            <w:r w:rsidRPr="001604BA">
              <w:rPr>
                <w:b/>
                <w:bCs/>
              </w:rPr>
              <w:t xml:space="preserve">Durable </w:t>
            </w:r>
          </w:p>
        </w:tc>
        <w:tc>
          <w:tcPr>
            <w:tcW w:w="2692" w:type="dxa"/>
            <w:shd w:val="clear" w:color="auto" w:fill="D9D9D9" w:themeFill="background1" w:themeFillShade="D9"/>
          </w:tcPr>
          <w:p w14:paraId="6F4851BD" w14:textId="77777777" w:rsidR="0089435B" w:rsidRPr="002526E0" w:rsidRDefault="0089435B" w:rsidP="0089435B">
            <w:pPr>
              <w:pStyle w:val="Numbered"/>
              <w:numPr>
                <w:ilvl w:val="0"/>
                <w:numId w:val="0"/>
              </w:numPr>
              <w:spacing w:before="0"/>
              <w:rPr>
                <w:sz w:val="20"/>
                <w:szCs w:val="20"/>
              </w:rPr>
            </w:pPr>
            <w:r w:rsidRPr="002526E0">
              <w:rPr>
                <w:sz w:val="20"/>
                <w:szCs w:val="20"/>
              </w:rPr>
              <w:t>+1</w:t>
            </w:r>
          </w:p>
          <w:p w14:paraId="75B50EEA" w14:textId="77777777" w:rsidR="0089435B" w:rsidRDefault="0089435B" w:rsidP="0089435B">
            <w:pPr>
              <w:pStyle w:val="Numbered"/>
              <w:numPr>
                <w:ilvl w:val="0"/>
                <w:numId w:val="0"/>
              </w:numPr>
              <w:spacing w:before="0"/>
              <w:rPr>
                <w:sz w:val="20"/>
                <w:szCs w:val="20"/>
              </w:rPr>
            </w:pPr>
            <w:r w:rsidRPr="002526E0">
              <w:rPr>
                <w:sz w:val="20"/>
                <w:szCs w:val="20"/>
              </w:rPr>
              <w:t xml:space="preserve">Designation method </w:t>
            </w:r>
            <w:r w:rsidR="00DD49DF">
              <w:rPr>
                <w:sz w:val="20"/>
                <w:szCs w:val="20"/>
              </w:rPr>
              <w:t>is</w:t>
            </w:r>
            <w:r w:rsidRPr="002526E0">
              <w:rPr>
                <w:sz w:val="20"/>
                <w:szCs w:val="20"/>
              </w:rPr>
              <w:t xml:space="preserve"> </w:t>
            </w:r>
            <w:r w:rsidR="00ED4E52">
              <w:rPr>
                <w:sz w:val="20"/>
                <w:szCs w:val="20"/>
              </w:rPr>
              <w:t>fit for purpose.</w:t>
            </w:r>
          </w:p>
          <w:p w14:paraId="4474B419" w14:textId="43C2DFC0" w:rsidR="00ED4E52" w:rsidRPr="002526E0" w:rsidRDefault="00ED4E52" w:rsidP="0089435B">
            <w:pPr>
              <w:pStyle w:val="Numbered"/>
              <w:numPr>
                <w:ilvl w:val="0"/>
                <w:numId w:val="0"/>
              </w:numPr>
              <w:spacing w:before="0"/>
              <w:rPr>
                <w:sz w:val="20"/>
                <w:szCs w:val="20"/>
              </w:rPr>
            </w:pPr>
            <w:r>
              <w:rPr>
                <w:sz w:val="20"/>
                <w:szCs w:val="20"/>
              </w:rPr>
              <w:t>Could be more flexible if the regulator had powers to designate on other grounds.</w:t>
            </w:r>
          </w:p>
        </w:tc>
        <w:tc>
          <w:tcPr>
            <w:tcW w:w="2974" w:type="dxa"/>
            <w:shd w:val="clear" w:color="auto" w:fill="D9D9D9" w:themeFill="background1" w:themeFillShade="D9"/>
          </w:tcPr>
          <w:p w14:paraId="4C2E0769" w14:textId="0589E2C6" w:rsidR="0089435B" w:rsidRPr="002526E0" w:rsidRDefault="0089435B" w:rsidP="0089435B">
            <w:pPr>
              <w:pStyle w:val="Numbered"/>
              <w:numPr>
                <w:ilvl w:val="0"/>
                <w:numId w:val="0"/>
              </w:numPr>
              <w:spacing w:before="0"/>
              <w:rPr>
                <w:sz w:val="20"/>
                <w:szCs w:val="20"/>
              </w:rPr>
            </w:pPr>
            <w:r w:rsidRPr="002526E0">
              <w:rPr>
                <w:sz w:val="20"/>
                <w:szCs w:val="20"/>
              </w:rPr>
              <w:t>+1</w:t>
            </w:r>
            <w:r w:rsidR="00DD49DF">
              <w:rPr>
                <w:sz w:val="20"/>
                <w:szCs w:val="20"/>
              </w:rPr>
              <w:t>.5</w:t>
            </w:r>
          </w:p>
          <w:p w14:paraId="1CDF294E" w14:textId="7D39756F" w:rsidR="0089435B" w:rsidRPr="002526E0" w:rsidRDefault="00DD49DF" w:rsidP="0089435B">
            <w:pPr>
              <w:pStyle w:val="Numbered"/>
              <w:numPr>
                <w:ilvl w:val="0"/>
                <w:numId w:val="0"/>
              </w:numPr>
              <w:spacing w:before="0"/>
              <w:rPr>
                <w:sz w:val="20"/>
                <w:szCs w:val="20"/>
              </w:rPr>
            </w:pPr>
            <w:r w:rsidRPr="002526E0">
              <w:rPr>
                <w:sz w:val="20"/>
                <w:szCs w:val="20"/>
              </w:rPr>
              <w:t xml:space="preserve">Designation method </w:t>
            </w:r>
            <w:r>
              <w:rPr>
                <w:sz w:val="20"/>
                <w:szCs w:val="20"/>
              </w:rPr>
              <w:t>is</w:t>
            </w:r>
            <w:r w:rsidRPr="002526E0">
              <w:rPr>
                <w:sz w:val="20"/>
                <w:szCs w:val="20"/>
              </w:rPr>
              <w:t xml:space="preserve"> flexible into future</w:t>
            </w:r>
            <w:r>
              <w:rPr>
                <w:sz w:val="20"/>
                <w:szCs w:val="20"/>
              </w:rPr>
              <w:t xml:space="preserve">, </w:t>
            </w:r>
            <w:r w:rsidR="0089435B" w:rsidRPr="002526E0">
              <w:rPr>
                <w:sz w:val="20"/>
                <w:szCs w:val="20"/>
              </w:rPr>
              <w:t xml:space="preserve">especially with </w:t>
            </w:r>
            <w:r>
              <w:rPr>
                <w:sz w:val="20"/>
                <w:szCs w:val="20"/>
              </w:rPr>
              <w:t xml:space="preserve">investigation power. </w:t>
            </w:r>
          </w:p>
        </w:tc>
        <w:tc>
          <w:tcPr>
            <w:tcW w:w="2679" w:type="dxa"/>
            <w:shd w:val="clear" w:color="auto" w:fill="D9D9D9" w:themeFill="background1" w:themeFillShade="D9"/>
          </w:tcPr>
          <w:p w14:paraId="3A893349" w14:textId="77777777" w:rsidR="0089435B" w:rsidRDefault="00DD49DF" w:rsidP="0089435B">
            <w:pPr>
              <w:pStyle w:val="Numbered"/>
              <w:numPr>
                <w:ilvl w:val="0"/>
                <w:numId w:val="0"/>
              </w:numPr>
              <w:spacing w:before="0"/>
              <w:rPr>
                <w:sz w:val="20"/>
                <w:szCs w:val="20"/>
              </w:rPr>
            </w:pPr>
            <w:r>
              <w:rPr>
                <w:sz w:val="20"/>
                <w:szCs w:val="20"/>
              </w:rPr>
              <w:t>+1.5</w:t>
            </w:r>
          </w:p>
          <w:p w14:paraId="1F092016" w14:textId="3C815089" w:rsidR="00DD49DF" w:rsidRPr="002526E0" w:rsidRDefault="00DD49DF" w:rsidP="0089435B">
            <w:pPr>
              <w:pStyle w:val="Numbered"/>
              <w:numPr>
                <w:ilvl w:val="0"/>
                <w:numId w:val="0"/>
              </w:numPr>
              <w:spacing w:before="0"/>
              <w:rPr>
                <w:sz w:val="20"/>
                <w:szCs w:val="20"/>
              </w:rPr>
            </w:pPr>
            <w:r w:rsidRPr="002526E0">
              <w:rPr>
                <w:sz w:val="20"/>
                <w:szCs w:val="20"/>
              </w:rPr>
              <w:t xml:space="preserve">Designation method </w:t>
            </w:r>
            <w:r>
              <w:rPr>
                <w:sz w:val="20"/>
                <w:szCs w:val="20"/>
              </w:rPr>
              <w:t>is</w:t>
            </w:r>
            <w:r w:rsidRPr="002526E0">
              <w:rPr>
                <w:sz w:val="20"/>
                <w:szCs w:val="20"/>
              </w:rPr>
              <w:t xml:space="preserve"> flexible into future</w:t>
            </w:r>
            <w:r>
              <w:rPr>
                <w:sz w:val="20"/>
                <w:szCs w:val="20"/>
              </w:rPr>
              <w:t xml:space="preserve">, </w:t>
            </w:r>
            <w:r w:rsidRPr="002526E0">
              <w:rPr>
                <w:sz w:val="20"/>
                <w:szCs w:val="20"/>
              </w:rPr>
              <w:t xml:space="preserve">especially with </w:t>
            </w:r>
            <w:r>
              <w:rPr>
                <w:sz w:val="20"/>
                <w:szCs w:val="20"/>
              </w:rPr>
              <w:t>investigation power.</w:t>
            </w:r>
          </w:p>
        </w:tc>
      </w:tr>
      <w:tr w:rsidR="0089435B" w:rsidRPr="00D17979" w14:paraId="19EE5CE1" w14:textId="77777777" w:rsidTr="00DD49DF">
        <w:tc>
          <w:tcPr>
            <w:tcW w:w="1011" w:type="dxa"/>
            <w:shd w:val="clear" w:color="auto" w:fill="D9D9D9" w:themeFill="background1" w:themeFillShade="D9"/>
          </w:tcPr>
          <w:p w14:paraId="5EAFCCB0" w14:textId="3550DB6F" w:rsidR="0089435B" w:rsidRPr="001604BA" w:rsidRDefault="0089435B" w:rsidP="0089435B">
            <w:pPr>
              <w:pStyle w:val="Numbered"/>
              <w:numPr>
                <w:ilvl w:val="0"/>
                <w:numId w:val="0"/>
              </w:numPr>
              <w:spacing w:before="0"/>
              <w:rPr>
                <w:b/>
                <w:bCs/>
              </w:rPr>
            </w:pPr>
            <w:r>
              <w:rPr>
                <w:b/>
                <w:bCs/>
              </w:rPr>
              <w:t>Overall</w:t>
            </w:r>
          </w:p>
        </w:tc>
        <w:tc>
          <w:tcPr>
            <w:tcW w:w="2692" w:type="dxa"/>
            <w:shd w:val="clear" w:color="auto" w:fill="D9D9D9" w:themeFill="background1" w:themeFillShade="D9"/>
          </w:tcPr>
          <w:p w14:paraId="452DB1EA" w14:textId="2BE8BE82" w:rsidR="0089435B" w:rsidRPr="002526E0" w:rsidRDefault="00ED4E52" w:rsidP="0089435B">
            <w:pPr>
              <w:pStyle w:val="Numbered"/>
              <w:numPr>
                <w:ilvl w:val="0"/>
                <w:numId w:val="0"/>
              </w:numPr>
              <w:spacing w:before="0"/>
              <w:rPr>
                <w:sz w:val="20"/>
                <w:szCs w:val="20"/>
              </w:rPr>
            </w:pPr>
            <w:r>
              <w:rPr>
                <w:sz w:val="20"/>
                <w:szCs w:val="20"/>
              </w:rPr>
              <w:t>+</w:t>
            </w:r>
            <w:r w:rsidR="00F1432A">
              <w:rPr>
                <w:sz w:val="20"/>
                <w:szCs w:val="20"/>
              </w:rPr>
              <w:t>0.5</w:t>
            </w:r>
          </w:p>
        </w:tc>
        <w:tc>
          <w:tcPr>
            <w:tcW w:w="2974" w:type="dxa"/>
            <w:shd w:val="clear" w:color="auto" w:fill="D9D9D9" w:themeFill="background1" w:themeFillShade="D9"/>
          </w:tcPr>
          <w:p w14:paraId="050F32D5" w14:textId="01E8832D" w:rsidR="0089435B" w:rsidRPr="002526E0" w:rsidRDefault="00DD49DF" w:rsidP="0089435B">
            <w:pPr>
              <w:pStyle w:val="Numbered"/>
              <w:numPr>
                <w:ilvl w:val="0"/>
                <w:numId w:val="0"/>
              </w:numPr>
              <w:spacing w:before="0"/>
              <w:rPr>
                <w:sz w:val="20"/>
                <w:szCs w:val="20"/>
              </w:rPr>
            </w:pPr>
            <w:r>
              <w:rPr>
                <w:sz w:val="20"/>
                <w:szCs w:val="20"/>
              </w:rPr>
              <w:t>+</w:t>
            </w:r>
            <w:r w:rsidR="00F1432A">
              <w:rPr>
                <w:sz w:val="20"/>
                <w:szCs w:val="20"/>
              </w:rPr>
              <w:t>1.5</w:t>
            </w:r>
          </w:p>
        </w:tc>
        <w:tc>
          <w:tcPr>
            <w:tcW w:w="2679" w:type="dxa"/>
            <w:shd w:val="clear" w:color="auto" w:fill="D9D9D9" w:themeFill="background1" w:themeFillShade="D9"/>
          </w:tcPr>
          <w:p w14:paraId="331DD12C" w14:textId="6BCF2DBB" w:rsidR="0089435B" w:rsidRPr="002526E0" w:rsidRDefault="00DD49DF" w:rsidP="0089435B">
            <w:pPr>
              <w:pStyle w:val="Numbered"/>
              <w:numPr>
                <w:ilvl w:val="0"/>
                <w:numId w:val="0"/>
              </w:numPr>
              <w:spacing w:before="0"/>
              <w:rPr>
                <w:sz w:val="20"/>
                <w:szCs w:val="20"/>
              </w:rPr>
            </w:pPr>
            <w:r>
              <w:rPr>
                <w:sz w:val="20"/>
                <w:szCs w:val="20"/>
              </w:rPr>
              <w:t>+</w:t>
            </w:r>
            <w:r w:rsidR="00F1432A">
              <w:rPr>
                <w:sz w:val="20"/>
                <w:szCs w:val="20"/>
              </w:rPr>
              <w:t>0.5</w:t>
            </w:r>
          </w:p>
        </w:tc>
      </w:tr>
    </w:tbl>
    <w:p w14:paraId="2C46EEAA" w14:textId="370235A3" w:rsidR="00ED4E52" w:rsidRDefault="00ED4E52" w:rsidP="0002572A">
      <w:bookmarkStart w:id="89" w:name="_Toc103173692"/>
      <w:bookmarkStart w:id="90" w:name="_Toc104358648"/>
    </w:p>
    <w:p w14:paraId="6AD0747F" w14:textId="77777777" w:rsidR="00ED4E52" w:rsidRDefault="00ED4E52">
      <w:r>
        <w:br w:type="page"/>
      </w:r>
    </w:p>
    <w:tbl>
      <w:tblPr>
        <w:tblStyle w:val="TableGrid"/>
        <w:tblW w:w="9356"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CellMar>
          <w:top w:w="85" w:type="dxa"/>
          <w:bottom w:w="85" w:type="dxa"/>
        </w:tblCellMar>
        <w:tblLook w:val="04A0" w:firstRow="1" w:lastRow="0" w:firstColumn="1" w:lastColumn="0" w:noHBand="0" w:noVBand="1"/>
      </w:tblPr>
      <w:tblGrid>
        <w:gridCol w:w="1012"/>
        <w:gridCol w:w="2692"/>
        <w:gridCol w:w="2974"/>
        <w:gridCol w:w="2678"/>
      </w:tblGrid>
      <w:tr w:rsidR="0002572A" w:rsidRPr="00D17979" w14:paraId="53668F5A" w14:textId="77777777" w:rsidTr="00097603">
        <w:tc>
          <w:tcPr>
            <w:tcW w:w="1012" w:type="dxa"/>
            <w:tcBorders>
              <w:bottom w:val="nil"/>
            </w:tcBorders>
            <w:shd w:val="clear" w:color="auto" w:fill="D9D9D9" w:themeFill="background1" w:themeFillShade="D9"/>
          </w:tcPr>
          <w:p w14:paraId="682B11E5" w14:textId="77777777" w:rsidR="0002572A" w:rsidRPr="005239EF" w:rsidRDefault="0002572A" w:rsidP="00097603">
            <w:pPr>
              <w:pStyle w:val="Numbered"/>
              <w:numPr>
                <w:ilvl w:val="0"/>
                <w:numId w:val="0"/>
              </w:numPr>
              <w:spacing w:before="0"/>
              <w:rPr>
                <w:b/>
                <w:bCs/>
              </w:rPr>
            </w:pPr>
            <w:bookmarkStart w:id="91" w:name="_Hlk103606795"/>
          </w:p>
        </w:tc>
        <w:tc>
          <w:tcPr>
            <w:tcW w:w="2692" w:type="dxa"/>
            <w:shd w:val="clear" w:color="auto" w:fill="D9D9D9" w:themeFill="background1" w:themeFillShade="D9"/>
          </w:tcPr>
          <w:p w14:paraId="575A6824" w14:textId="77777777" w:rsidR="0002572A" w:rsidRPr="00D17979" w:rsidRDefault="0002572A" w:rsidP="00097603">
            <w:pPr>
              <w:pStyle w:val="Numbered"/>
              <w:numPr>
                <w:ilvl w:val="0"/>
                <w:numId w:val="0"/>
              </w:numPr>
              <w:spacing w:before="0"/>
              <w:rPr>
                <w:b/>
                <w:bCs/>
              </w:rPr>
            </w:pPr>
            <w:r w:rsidRPr="00693A61">
              <w:rPr>
                <w:b/>
                <w:bCs/>
              </w:rPr>
              <w:t xml:space="preserve">Option </w:t>
            </w:r>
            <w:r>
              <w:rPr>
                <w:b/>
                <w:bCs/>
              </w:rPr>
              <w:t>A</w:t>
            </w:r>
            <w:r w:rsidRPr="004F1BE9">
              <w:rPr>
                <w:b/>
                <w:bCs/>
              </w:rPr>
              <w:t xml:space="preserve">: </w:t>
            </w:r>
            <w:r w:rsidRPr="00594084">
              <w:rPr>
                <w:sz w:val="20"/>
                <w:szCs w:val="20"/>
              </w:rPr>
              <w:t>Obligations on head-office and some direct obligations on stores</w:t>
            </w:r>
          </w:p>
        </w:tc>
        <w:tc>
          <w:tcPr>
            <w:tcW w:w="2974" w:type="dxa"/>
            <w:shd w:val="clear" w:color="auto" w:fill="D9D9D9" w:themeFill="background1" w:themeFillShade="D9"/>
          </w:tcPr>
          <w:p w14:paraId="425A00C6" w14:textId="77777777" w:rsidR="0002572A" w:rsidRDefault="0002572A" w:rsidP="00097603">
            <w:pPr>
              <w:pStyle w:val="Numbered"/>
              <w:numPr>
                <w:ilvl w:val="0"/>
                <w:numId w:val="0"/>
              </w:numPr>
              <w:spacing w:before="0"/>
              <w:rPr>
                <w:b/>
                <w:bCs/>
              </w:rPr>
            </w:pPr>
            <w:r w:rsidRPr="00693A61">
              <w:rPr>
                <w:b/>
                <w:bCs/>
              </w:rPr>
              <w:t xml:space="preserve">Option </w:t>
            </w:r>
            <w:r>
              <w:rPr>
                <w:b/>
                <w:bCs/>
              </w:rPr>
              <w:t xml:space="preserve">B: </w:t>
            </w:r>
            <w:r w:rsidRPr="002E16CF">
              <w:rPr>
                <w:sz w:val="20"/>
                <w:szCs w:val="20"/>
              </w:rPr>
              <w:t>Obligations on head</w:t>
            </w:r>
            <w:r>
              <w:rPr>
                <w:sz w:val="20"/>
                <w:szCs w:val="20"/>
              </w:rPr>
              <w:t xml:space="preserve"> </w:t>
            </w:r>
            <w:r w:rsidRPr="002E16CF">
              <w:rPr>
                <w:sz w:val="20"/>
                <w:szCs w:val="20"/>
              </w:rPr>
              <w:t xml:space="preserve">office and some direct obligations on stores </w:t>
            </w:r>
            <w:r>
              <w:rPr>
                <w:sz w:val="20"/>
                <w:szCs w:val="20"/>
              </w:rPr>
              <w:t xml:space="preserve">but </w:t>
            </w:r>
            <w:r w:rsidRPr="002E16CF">
              <w:rPr>
                <w:sz w:val="20"/>
                <w:szCs w:val="20"/>
              </w:rPr>
              <w:t xml:space="preserve">with exemption </w:t>
            </w:r>
          </w:p>
        </w:tc>
        <w:tc>
          <w:tcPr>
            <w:tcW w:w="2678" w:type="dxa"/>
            <w:shd w:val="clear" w:color="auto" w:fill="D9D9D9" w:themeFill="background1" w:themeFillShade="D9"/>
          </w:tcPr>
          <w:p w14:paraId="11DC81A7" w14:textId="77777777" w:rsidR="0002572A" w:rsidRDefault="0002572A" w:rsidP="00097603">
            <w:pPr>
              <w:pStyle w:val="Numbered"/>
              <w:numPr>
                <w:ilvl w:val="0"/>
                <w:numId w:val="0"/>
              </w:numPr>
              <w:spacing w:before="0"/>
              <w:rPr>
                <w:b/>
                <w:bCs/>
              </w:rPr>
            </w:pPr>
            <w:r w:rsidRPr="004F1BE9">
              <w:rPr>
                <w:b/>
                <w:bCs/>
              </w:rPr>
              <w:t xml:space="preserve">Option C: </w:t>
            </w:r>
            <w:r w:rsidRPr="00594084">
              <w:rPr>
                <w:sz w:val="20"/>
                <w:szCs w:val="20"/>
              </w:rPr>
              <w:t>All obligations on head</w:t>
            </w:r>
            <w:r>
              <w:rPr>
                <w:sz w:val="20"/>
                <w:szCs w:val="20"/>
              </w:rPr>
              <w:t xml:space="preserve"> </w:t>
            </w:r>
            <w:r w:rsidRPr="00594084">
              <w:rPr>
                <w:sz w:val="20"/>
                <w:szCs w:val="20"/>
              </w:rPr>
              <w:t xml:space="preserve">office to ensure business complies with </w:t>
            </w:r>
            <w:r>
              <w:rPr>
                <w:sz w:val="20"/>
                <w:szCs w:val="20"/>
              </w:rPr>
              <w:t xml:space="preserve">the </w:t>
            </w:r>
            <w:r w:rsidRPr="00594084">
              <w:rPr>
                <w:sz w:val="20"/>
                <w:szCs w:val="20"/>
              </w:rPr>
              <w:t>Code</w:t>
            </w:r>
          </w:p>
        </w:tc>
      </w:tr>
      <w:tr w:rsidR="0002572A" w:rsidRPr="00D17979" w14:paraId="1236AFB9" w14:textId="77777777" w:rsidTr="00097603">
        <w:tc>
          <w:tcPr>
            <w:tcW w:w="1012" w:type="dxa"/>
            <w:shd w:val="clear" w:color="auto" w:fill="D9D9D9" w:themeFill="background1" w:themeFillShade="D9"/>
          </w:tcPr>
          <w:p w14:paraId="20964591" w14:textId="77777777" w:rsidR="0002572A" w:rsidRPr="00D17979" w:rsidRDefault="0002572A" w:rsidP="00097603">
            <w:pPr>
              <w:pStyle w:val="Numbered"/>
              <w:numPr>
                <w:ilvl w:val="0"/>
                <w:numId w:val="0"/>
              </w:numPr>
              <w:spacing w:before="0"/>
              <w:rPr>
                <w:b/>
                <w:bCs/>
              </w:rPr>
            </w:pPr>
            <w:r>
              <w:rPr>
                <w:b/>
                <w:bCs/>
              </w:rPr>
              <w:t>Effective</w:t>
            </w:r>
          </w:p>
        </w:tc>
        <w:tc>
          <w:tcPr>
            <w:tcW w:w="2692" w:type="dxa"/>
            <w:shd w:val="clear" w:color="auto" w:fill="D9D9D9" w:themeFill="background1" w:themeFillShade="D9"/>
          </w:tcPr>
          <w:p w14:paraId="3FF7854C" w14:textId="77777777" w:rsidR="0002572A" w:rsidRPr="002526E0" w:rsidRDefault="0002572A" w:rsidP="00097603">
            <w:pPr>
              <w:pStyle w:val="Numbered"/>
              <w:numPr>
                <w:ilvl w:val="0"/>
                <w:numId w:val="0"/>
              </w:numPr>
              <w:spacing w:before="0"/>
              <w:rPr>
                <w:sz w:val="20"/>
                <w:szCs w:val="20"/>
              </w:rPr>
            </w:pPr>
            <w:r>
              <w:rPr>
                <w:sz w:val="20"/>
                <w:szCs w:val="20"/>
              </w:rPr>
              <w:t>+2</w:t>
            </w:r>
          </w:p>
          <w:p w14:paraId="15C1823D" w14:textId="104257A4" w:rsidR="0002572A" w:rsidRPr="002526E0" w:rsidRDefault="00F1432A" w:rsidP="00097603">
            <w:pPr>
              <w:pStyle w:val="Numbered"/>
              <w:numPr>
                <w:ilvl w:val="0"/>
                <w:numId w:val="0"/>
              </w:numPr>
              <w:spacing w:before="0"/>
              <w:rPr>
                <w:sz w:val="20"/>
                <w:szCs w:val="20"/>
              </w:rPr>
            </w:pPr>
            <w:r>
              <w:rPr>
                <w:sz w:val="20"/>
                <w:szCs w:val="20"/>
              </w:rPr>
              <w:t>Effective at regulating designated retailers by providing robust coverage of all interactions with suppliers.</w:t>
            </w:r>
          </w:p>
        </w:tc>
        <w:tc>
          <w:tcPr>
            <w:tcW w:w="2974" w:type="dxa"/>
            <w:shd w:val="clear" w:color="auto" w:fill="D9D9D9" w:themeFill="background1" w:themeFillShade="D9"/>
          </w:tcPr>
          <w:p w14:paraId="3BAE1888" w14:textId="77777777" w:rsidR="0002572A" w:rsidRPr="002526E0" w:rsidRDefault="0002572A" w:rsidP="00097603">
            <w:pPr>
              <w:pStyle w:val="Numbered"/>
              <w:numPr>
                <w:ilvl w:val="0"/>
                <w:numId w:val="0"/>
              </w:numPr>
              <w:spacing w:before="0"/>
              <w:rPr>
                <w:sz w:val="20"/>
                <w:szCs w:val="20"/>
              </w:rPr>
            </w:pPr>
            <w:r w:rsidRPr="002526E0">
              <w:rPr>
                <w:sz w:val="20"/>
                <w:szCs w:val="20"/>
              </w:rPr>
              <w:t>+</w:t>
            </w:r>
            <w:r>
              <w:rPr>
                <w:sz w:val="20"/>
                <w:szCs w:val="20"/>
              </w:rPr>
              <w:t>1.5</w:t>
            </w:r>
          </w:p>
          <w:p w14:paraId="20EFDFFE" w14:textId="03ED62B0" w:rsidR="0002572A" w:rsidRPr="002526E0" w:rsidRDefault="00F1432A" w:rsidP="00097603">
            <w:pPr>
              <w:pStyle w:val="Numbered"/>
              <w:numPr>
                <w:ilvl w:val="0"/>
                <w:numId w:val="0"/>
              </w:numPr>
              <w:spacing w:before="0"/>
              <w:rPr>
                <w:sz w:val="20"/>
                <w:szCs w:val="20"/>
              </w:rPr>
            </w:pPr>
            <w:r>
              <w:rPr>
                <w:sz w:val="20"/>
                <w:szCs w:val="20"/>
              </w:rPr>
              <w:t>R</w:t>
            </w:r>
            <w:r w:rsidR="0002572A">
              <w:rPr>
                <w:sz w:val="20"/>
                <w:szCs w:val="20"/>
              </w:rPr>
              <w:t xml:space="preserve">educed effectiveness because of exemption for smaller retail stores. </w:t>
            </w:r>
          </w:p>
        </w:tc>
        <w:tc>
          <w:tcPr>
            <w:tcW w:w="2678" w:type="dxa"/>
            <w:shd w:val="clear" w:color="auto" w:fill="D9D9D9" w:themeFill="background1" w:themeFillShade="D9"/>
          </w:tcPr>
          <w:p w14:paraId="2D70CACC" w14:textId="77777777" w:rsidR="0002572A" w:rsidRDefault="0002572A" w:rsidP="00097603">
            <w:pPr>
              <w:pStyle w:val="Numbered"/>
              <w:numPr>
                <w:ilvl w:val="0"/>
                <w:numId w:val="0"/>
              </w:numPr>
              <w:tabs>
                <w:tab w:val="left" w:pos="699"/>
              </w:tabs>
              <w:spacing w:before="0"/>
              <w:rPr>
                <w:sz w:val="20"/>
                <w:szCs w:val="20"/>
              </w:rPr>
            </w:pPr>
            <w:r>
              <w:rPr>
                <w:sz w:val="20"/>
                <w:szCs w:val="20"/>
              </w:rPr>
              <w:t>+2</w:t>
            </w:r>
          </w:p>
          <w:p w14:paraId="5B20BE70" w14:textId="0A727D95" w:rsidR="0002572A" w:rsidRPr="002526E0" w:rsidRDefault="00F1432A" w:rsidP="00097603">
            <w:pPr>
              <w:pStyle w:val="Numbered"/>
              <w:numPr>
                <w:ilvl w:val="0"/>
                <w:numId w:val="0"/>
              </w:numPr>
              <w:spacing w:before="0"/>
              <w:rPr>
                <w:sz w:val="20"/>
                <w:szCs w:val="20"/>
              </w:rPr>
            </w:pPr>
            <w:r>
              <w:rPr>
                <w:sz w:val="20"/>
                <w:szCs w:val="20"/>
              </w:rPr>
              <w:t>Effective at regulating designated retailers by providing robust coverage of all interactions with suppliers.</w:t>
            </w:r>
          </w:p>
        </w:tc>
      </w:tr>
      <w:tr w:rsidR="0002572A" w:rsidRPr="00D17979" w14:paraId="6FEEA9B2" w14:textId="77777777" w:rsidTr="00097603">
        <w:tc>
          <w:tcPr>
            <w:tcW w:w="1012" w:type="dxa"/>
            <w:shd w:val="clear" w:color="auto" w:fill="D9D9D9" w:themeFill="background1" w:themeFillShade="D9"/>
          </w:tcPr>
          <w:p w14:paraId="5700084C" w14:textId="77777777" w:rsidR="0002572A" w:rsidRPr="005239EF" w:rsidRDefault="0002572A" w:rsidP="00097603">
            <w:pPr>
              <w:pStyle w:val="Numbered"/>
              <w:numPr>
                <w:ilvl w:val="0"/>
                <w:numId w:val="0"/>
              </w:numPr>
              <w:spacing w:before="0"/>
              <w:rPr>
                <w:b/>
                <w:bCs/>
              </w:rPr>
            </w:pPr>
            <w:r>
              <w:rPr>
                <w:b/>
                <w:bCs/>
              </w:rPr>
              <w:t>Efficient</w:t>
            </w:r>
          </w:p>
        </w:tc>
        <w:tc>
          <w:tcPr>
            <w:tcW w:w="2692" w:type="dxa"/>
            <w:shd w:val="clear" w:color="auto" w:fill="D9D9D9" w:themeFill="background1" w:themeFillShade="D9"/>
          </w:tcPr>
          <w:p w14:paraId="374B3F60" w14:textId="77777777" w:rsidR="0002572A" w:rsidRPr="002526E0" w:rsidRDefault="0002572A" w:rsidP="00097603">
            <w:pPr>
              <w:pStyle w:val="Numbered"/>
              <w:numPr>
                <w:ilvl w:val="0"/>
                <w:numId w:val="0"/>
              </w:numPr>
              <w:spacing w:before="0"/>
              <w:rPr>
                <w:sz w:val="20"/>
                <w:szCs w:val="20"/>
              </w:rPr>
            </w:pPr>
            <w:r w:rsidRPr="002526E0">
              <w:rPr>
                <w:sz w:val="20"/>
                <w:szCs w:val="20"/>
              </w:rPr>
              <w:t>-2</w:t>
            </w:r>
          </w:p>
          <w:p w14:paraId="5CCB11B3" w14:textId="77777777" w:rsidR="0002572A" w:rsidRPr="002526E0" w:rsidRDefault="0002572A" w:rsidP="00097603">
            <w:pPr>
              <w:pStyle w:val="Numbered"/>
              <w:numPr>
                <w:ilvl w:val="0"/>
                <w:numId w:val="0"/>
              </w:numPr>
              <w:spacing w:before="0"/>
              <w:rPr>
                <w:sz w:val="20"/>
                <w:szCs w:val="20"/>
              </w:rPr>
            </w:pPr>
            <w:r>
              <w:rPr>
                <w:sz w:val="20"/>
                <w:szCs w:val="20"/>
              </w:rPr>
              <w:t xml:space="preserve">Possible duplication of costs at head office and retail store levels. </w:t>
            </w:r>
          </w:p>
        </w:tc>
        <w:tc>
          <w:tcPr>
            <w:tcW w:w="2974" w:type="dxa"/>
            <w:shd w:val="clear" w:color="auto" w:fill="D9D9D9" w:themeFill="background1" w:themeFillShade="D9"/>
          </w:tcPr>
          <w:p w14:paraId="7572F955" w14:textId="77777777" w:rsidR="0002572A" w:rsidRPr="002526E0" w:rsidRDefault="0002572A" w:rsidP="00097603">
            <w:pPr>
              <w:pStyle w:val="Numbered"/>
              <w:numPr>
                <w:ilvl w:val="0"/>
                <w:numId w:val="0"/>
              </w:numPr>
              <w:spacing w:before="0"/>
              <w:rPr>
                <w:sz w:val="20"/>
                <w:szCs w:val="20"/>
              </w:rPr>
            </w:pPr>
            <w:r w:rsidRPr="002526E0">
              <w:rPr>
                <w:sz w:val="20"/>
                <w:szCs w:val="20"/>
              </w:rPr>
              <w:t>-1</w:t>
            </w:r>
            <w:r>
              <w:rPr>
                <w:sz w:val="20"/>
                <w:szCs w:val="20"/>
              </w:rPr>
              <w:t>.5</w:t>
            </w:r>
          </w:p>
          <w:p w14:paraId="56D43501" w14:textId="77777777" w:rsidR="0002572A" w:rsidRPr="002526E0" w:rsidRDefault="0002572A" w:rsidP="00097603">
            <w:pPr>
              <w:pStyle w:val="Numbered"/>
              <w:numPr>
                <w:ilvl w:val="0"/>
                <w:numId w:val="0"/>
              </w:numPr>
              <w:spacing w:before="0"/>
              <w:rPr>
                <w:sz w:val="20"/>
                <w:szCs w:val="20"/>
              </w:rPr>
            </w:pPr>
            <w:r w:rsidRPr="002526E0">
              <w:rPr>
                <w:sz w:val="20"/>
                <w:szCs w:val="20"/>
              </w:rPr>
              <w:t>Some extra costs for retail</w:t>
            </w:r>
            <w:r>
              <w:rPr>
                <w:sz w:val="20"/>
                <w:szCs w:val="20"/>
              </w:rPr>
              <w:t xml:space="preserve"> stores</w:t>
            </w:r>
            <w:r w:rsidRPr="002526E0">
              <w:rPr>
                <w:sz w:val="20"/>
                <w:szCs w:val="20"/>
              </w:rPr>
              <w:t xml:space="preserve"> but less than </w:t>
            </w:r>
            <w:r>
              <w:rPr>
                <w:sz w:val="20"/>
                <w:szCs w:val="20"/>
              </w:rPr>
              <w:t xml:space="preserve">under </w:t>
            </w:r>
            <w:r w:rsidRPr="002526E0">
              <w:rPr>
                <w:sz w:val="20"/>
                <w:szCs w:val="20"/>
              </w:rPr>
              <w:t>Option A</w:t>
            </w:r>
            <w:r>
              <w:rPr>
                <w:sz w:val="20"/>
                <w:szCs w:val="20"/>
              </w:rPr>
              <w:t>.</w:t>
            </w:r>
          </w:p>
        </w:tc>
        <w:tc>
          <w:tcPr>
            <w:tcW w:w="2678" w:type="dxa"/>
            <w:shd w:val="clear" w:color="auto" w:fill="D9D9D9" w:themeFill="background1" w:themeFillShade="D9"/>
          </w:tcPr>
          <w:p w14:paraId="26023C69" w14:textId="77777777" w:rsidR="0002572A" w:rsidRDefault="0002572A" w:rsidP="00097603">
            <w:pPr>
              <w:pStyle w:val="Numbered"/>
              <w:numPr>
                <w:ilvl w:val="0"/>
                <w:numId w:val="0"/>
              </w:numPr>
              <w:spacing w:before="0"/>
              <w:rPr>
                <w:sz w:val="20"/>
                <w:szCs w:val="20"/>
              </w:rPr>
            </w:pPr>
            <w:r>
              <w:rPr>
                <w:sz w:val="20"/>
                <w:szCs w:val="20"/>
              </w:rPr>
              <w:t>-1</w:t>
            </w:r>
          </w:p>
          <w:p w14:paraId="3ED441D7" w14:textId="77777777" w:rsidR="0002572A" w:rsidRPr="002526E0" w:rsidRDefault="0002572A" w:rsidP="00097603">
            <w:pPr>
              <w:pStyle w:val="Numbered"/>
              <w:numPr>
                <w:ilvl w:val="0"/>
                <w:numId w:val="0"/>
              </w:numPr>
              <w:spacing w:before="0"/>
              <w:rPr>
                <w:sz w:val="20"/>
                <w:szCs w:val="20"/>
              </w:rPr>
            </w:pPr>
            <w:r>
              <w:rPr>
                <w:sz w:val="20"/>
                <w:szCs w:val="20"/>
              </w:rPr>
              <w:t>Least costs because head-office can manage compliance efficiently.</w:t>
            </w:r>
          </w:p>
        </w:tc>
      </w:tr>
      <w:tr w:rsidR="0002572A" w:rsidRPr="00D17979" w14:paraId="2D7E24C6" w14:textId="77777777" w:rsidTr="00097603">
        <w:tc>
          <w:tcPr>
            <w:tcW w:w="1012" w:type="dxa"/>
            <w:shd w:val="clear" w:color="auto" w:fill="D9D9D9" w:themeFill="background1" w:themeFillShade="D9"/>
          </w:tcPr>
          <w:p w14:paraId="31F114A4" w14:textId="77777777" w:rsidR="0002572A" w:rsidRPr="005239EF" w:rsidRDefault="0002572A" w:rsidP="00097603">
            <w:pPr>
              <w:pStyle w:val="Numbered"/>
              <w:numPr>
                <w:ilvl w:val="0"/>
                <w:numId w:val="0"/>
              </w:numPr>
              <w:spacing w:before="0"/>
              <w:rPr>
                <w:b/>
                <w:bCs/>
              </w:rPr>
            </w:pPr>
            <w:r w:rsidRPr="001604BA">
              <w:rPr>
                <w:b/>
                <w:bCs/>
              </w:rPr>
              <w:t xml:space="preserve">Durable </w:t>
            </w:r>
          </w:p>
        </w:tc>
        <w:tc>
          <w:tcPr>
            <w:tcW w:w="2692" w:type="dxa"/>
            <w:shd w:val="clear" w:color="auto" w:fill="D9D9D9" w:themeFill="background1" w:themeFillShade="D9"/>
          </w:tcPr>
          <w:p w14:paraId="08B19E8A" w14:textId="77777777" w:rsidR="0002572A" w:rsidRPr="002526E0" w:rsidRDefault="0002572A" w:rsidP="00097603">
            <w:pPr>
              <w:pStyle w:val="Numbered"/>
              <w:numPr>
                <w:ilvl w:val="0"/>
                <w:numId w:val="0"/>
              </w:numPr>
              <w:spacing w:before="0"/>
              <w:rPr>
                <w:sz w:val="20"/>
                <w:szCs w:val="20"/>
              </w:rPr>
            </w:pPr>
            <w:r>
              <w:rPr>
                <w:sz w:val="20"/>
                <w:szCs w:val="20"/>
              </w:rPr>
              <w:t>+1</w:t>
            </w:r>
          </w:p>
          <w:p w14:paraId="211BC823" w14:textId="77777777" w:rsidR="0002572A" w:rsidRPr="002526E0" w:rsidRDefault="0002572A" w:rsidP="00097603">
            <w:pPr>
              <w:pStyle w:val="Numbered"/>
              <w:numPr>
                <w:ilvl w:val="0"/>
                <w:numId w:val="0"/>
              </w:numPr>
              <w:spacing w:before="0"/>
              <w:rPr>
                <w:sz w:val="20"/>
                <w:szCs w:val="20"/>
              </w:rPr>
            </w:pPr>
            <w:r>
              <w:rPr>
                <w:sz w:val="20"/>
                <w:szCs w:val="20"/>
              </w:rPr>
              <w:t xml:space="preserve">Could have unforeseen consequences if the content of the Code changes over time. </w:t>
            </w:r>
          </w:p>
        </w:tc>
        <w:tc>
          <w:tcPr>
            <w:tcW w:w="2974" w:type="dxa"/>
            <w:shd w:val="clear" w:color="auto" w:fill="D9D9D9" w:themeFill="background1" w:themeFillShade="D9"/>
          </w:tcPr>
          <w:p w14:paraId="41D99C70" w14:textId="77777777" w:rsidR="0002572A" w:rsidRPr="002526E0" w:rsidRDefault="0002572A" w:rsidP="00097603">
            <w:pPr>
              <w:pStyle w:val="Numbered"/>
              <w:numPr>
                <w:ilvl w:val="0"/>
                <w:numId w:val="0"/>
              </w:numPr>
              <w:spacing w:before="0"/>
              <w:rPr>
                <w:sz w:val="20"/>
                <w:szCs w:val="20"/>
              </w:rPr>
            </w:pPr>
            <w:r w:rsidRPr="002526E0">
              <w:rPr>
                <w:sz w:val="20"/>
                <w:szCs w:val="20"/>
              </w:rPr>
              <w:t>+</w:t>
            </w:r>
            <w:r>
              <w:rPr>
                <w:sz w:val="20"/>
                <w:szCs w:val="20"/>
              </w:rPr>
              <w:t>0.5</w:t>
            </w:r>
          </w:p>
          <w:p w14:paraId="54535798" w14:textId="77777777" w:rsidR="0002572A" w:rsidRPr="002526E0" w:rsidRDefault="0002572A" w:rsidP="00097603">
            <w:pPr>
              <w:pStyle w:val="Numbered"/>
              <w:numPr>
                <w:ilvl w:val="0"/>
                <w:numId w:val="0"/>
              </w:numPr>
              <w:spacing w:before="0"/>
              <w:rPr>
                <w:sz w:val="20"/>
                <w:szCs w:val="20"/>
              </w:rPr>
            </w:pPr>
            <w:r>
              <w:rPr>
                <w:sz w:val="20"/>
                <w:szCs w:val="20"/>
              </w:rPr>
              <w:t>Could have unforeseen consequences if the content of the Code changes over time. Store exemption may need to be adjusted into future.</w:t>
            </w:r>
          </w:p>
        </w:tc>
        <w:tc>
          <w:tcPr>
            <w:tcW w:w="2678" w:type="dxa"/>
            <w:shd w:val="clear" w:color="auto" w:fill="D9D9D9" w:themeFill="background1" w:themeFillShade="D9"/>
          </w:tcPr>
          <w:p w14:paraId="1C543312" w14:textId="77777777" w:rsidR="0002572A" w:rsidRDefault="0002572A" w:rsidP="00097603">
            <w:pPr>
              <w:pStyle w:val="Numbered"/>
              <w:numPr>
                <w:ilvl w:val="0"/>
                <w:numId w:val="0"/>
              </w:numPr>
              <w:spacing w:before="0"/>
              <w:rPr>
                <w:sz w:val="20"/>
                <w:szCs w:val="20"/>
              </w:rPr>
            </w:pPr>
            <w:r>
              <w:rPr>
                <w:sz w:val="20"/>
                <w:szCs w:val="20"/>
              </w:rPr>
              <w:t>+2</w:t>
            </w:r>
          </w:p>
          <w:p w14:paraId="6537ECA3" w14:textId="4774E6C9" w:rsidR="0002572A" w:rsidRPr="002526E0" w:rsidRDefault="0002572A" w:rsidP="00097603">
            <w:pPr>
              <w:pStyle w:val="Numbered"/>
              <w:numPr>
                <w:ilvl w:val="0"/>
                <w:numId w:val="0"/>
              </w:numPr>
              <w:spacing w:before="0" w:after="120"/>
              <w:rPr>
                <w:sz w:val="20"/>
                <w:szCs w:val="20"/>
              </w:rPr>
            </w:pPr>
            <w:r>
              <w:rPr>
                <w:sz w:val="20"/>
                <w:szCs w:val="20"/>
              </w:rPr>
              <w:t xml:space="preserve">Centralised focus should allow for better improvement </w:t>
            </w:r>
            <w:r w:rsidR="00F1432A">
              <w:rPr>
                <w:sz w:val="20"/>
                <w:szCs w:val="20"/>
              </w:rPr>
              <w:t xml:space="preserve">and </w:t>
            </w:r>
            <w:r>
              <w:rPr>
                <w:sz w:val="20"/>
                <w:szCs w:val="20"/>
              </w:rPr>
              <w:t xml:space="preserve">changes over time. </w:t>
            </w:r>
          </w:p>
        </w:tc>
      </w:tr>
      <w:tr w:rsidR="0002572A" w:rsidRPr="00D17979" w14:paraId="6A8E6C9A" w14:textId="77777777" w:rsidTr="00097603">
        <w:tc>
          <w:tcPr>
            <w:tcW w:w="1012" w:type="dxa"/>
            <w:shd w:val="clear" w:color="auto" w:fill="D9D9D9" w:themeFill="background1" w:themeFillShade="D9"/>
          </w:tcPr>
          <w:p w14:paraId="5B55878F" w14:textId="77777777" w:rsidR="0002572A" w:rsidRPr="001604BA" w:rsidRDefault="0002572A" w:rsidP="00097603">
            <w:pPr>
              <w:pStyle w:val="Numbered"/>
              <w:numPr>
                <w:ilvl w:val="0"/>
                <w:numId w:val="0"/>
              </w:numPr>
              <w:spacing w:before="0"/>
              <w:rPr>
                <w:b/>
                <w:bCs/>
              </w:rPr>
            </w:pPr>
            <w:r>
              <w:rPr>
                <w:b/>
                <w:bCs/>
              </w:rPr>
              <w:t>Overall</w:t>
            </w:r>
          </w:p>
        </w:tc>
        <w:tc>
          <w:tcPr>
            <w:tcW w:w="2692" w:type="dxa"/>
            <w:shd w:val="clear" w:color="auto" w:fill="D9D9D9" w:themeFill="background1" w:themeFillShade="D9"/>
          </w:tcPr>
          <w:p w14:paraId="7B3E6BA9" w14:textId="77777777" w:rsidR="0002572A" w:rsidRDefault="0002572A" w:rsidP="00097603">
            <w:pPr>
              <w:pStyle w:val="Numbered"/>
              <w:numPr>
                <w:ilvl w:val="0"/>
                <w:numId w:val="0"/>
              </w:numPr>
              <w:spacing w:before="0"/>
              <w:rPr>
                <w:sz w:val="20"/>
                <w:szCs w:val="20"/>
              </w:rPr>
            </w:pPr>
            <w:r>
              <w:rPr>
                <w:sz w:val="20"/>
                <w:szCs w:val="20"/>
              </w:rPr>
              <w:t>+1</w:t>
            </w:r>
          </w:p>
        </w:tc>
        <w:tc>
          <w:tcPr>
            <w:tcW w:w="2974" w:type="dxa"/>
            <w:shd w:val="clear" w:color="auto" w:fill="D9D9D9" w:themeFill="background1" w:themeFillShade="D9"/>
          </w:tcPr>
          <w:p w14:paraId="24B5361F" w14:textId="77777777" w:rsidR="0002572A" w:rsidRPr="002526E0" w:rsidRDefault="0002572A" w:rsidP="00097603">
            <w:pPr>
              <w:pStyle w:val="Numbered"/>
              <w:numPr>
                <w:ilvl w:val="0"/>
                <w:numId w:val="0"/>
              </w:numPr>
              <w:spacing w:before="0"/>
              <w:rPr>
                <w:sz w:val="20"/>
                <w:szCs w:val="20"/>
              </w:rPr>
            </w:pPr>
            <w:r>
              <w:rPr>
                <w:sz w:val="20"/>
                <w:szCs w:val="20"/>
              </w:rPr>
              <w:t>+0.5</w:t>
            </w:r>
          </w:p>
        </w:tc>
        <w:tc>
          <w:tcPr>
            <w:tcW w:w="2678" w:type="dxa"/>
            <w:shd w:val="clear" w:color="auto" w:fill="D9D9D9" w:themeFill="background1" w:themeFillShade="D9"/>
          </w:tcPr>
          <w:p w14:paraId="56EA0353" w14:textId="77777777" w:rsidR="0002572A" w:rsidRDefault="0002572A" w:rsidP="00097603">
            <w:pPr>
              <w:pStyle w:val="Numbered"/>
              <w:numPr>
                <w:ilvl w:val="0"/>
                <w:numId w:val="0"/>
              </w:numPr>
              <w:spacing w:before="0"/>
              <w:rPr>
                <w:sz w:val="20"/>
                <w:szCs w:val="20"/>
              </w:rPr>
            </w:pPr>
            <w:r>
              <w:rPr>
                <w:sz w:val="20"/>
                <w:szCs w:val="20"/>
              </w:rPr>
              <w:t>+3</w:t>
            </w:r>
          </w:p>
        </w:tc>
      </w:tr>
      <w:bookmarkEnd w:id="91"/>
    </w:tbl>
    <w:p w14:paraId="5B3ECA76" w14:textId="77777777" w:rsidR="0002572A" w:rsidRDefault="0002572A" w:rsidP="0002572A"/>
    <w:p w14:paraId="6F90B8E3" w14:textId="5BAFAA86" w:rsidR="00531897" w:rsidRDefault="00531897" w:rsidP="00D6326D">
      <w:pPr>
        <w:pStyle w:val="Heading2"/>
        <w:tabs>
          <w:tab w:val="left" w:pos="567"/>
        </w:tabs>
      </w:pPr>
      <w:bookmarkStart w:id="92" w:name="_Toc107919628"/>
      <w:r>
        <w:t>3.6</w:t>
      </w:r>
      <w:r w:rsidR="00D6326D">
        <w:tab/>
      </w:r>
      <w:r>
        <w:t>Consultation questions</w:t>
      </w:r>
      <w:bookmarkEnd w:id="89"/>
      <w:bookmarkEnd w:id="90"/>
      <w:bookmarkEnd w:id="92"/>
    </w:p>
    <w:tbl>
      <w:tblPr>
        <w:tblStyle w:val="TableGrid"/>
        <w:tblW w:w="9070"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CellMar>
          <w:top w:w="57" w:type="dxa"/>
          <w:bottom w:w="57" w:type="dxa"/>
        </w:tblCellMar>
        <w:tblLook w:val="0600" w:firstRow="0" w:lastRow="0" w:firstColumn="0" w:lastColumn="0" w:noHBand="1" w:noVBand="1"/>
      </w:tblPr>
      <w:tblGrid>
        <w:gridCol w:w="531"/>
        <w:gridCol w:w="8539"/>
      </w:tblGrid>
      <w:tr w:rsidR="00ED4E52" w:rsidRPr="00133B22" w14:paraId="0E44A033" w14:textId="77777777" w:rsidTr="003325E9">
        <w:trPr>
          <w:cantSplit/>
        </w:trPr>
        <w:tc>
          <w:tcPr>
            <w:tcW w:w="531" w:type="dxa"/>
            <w:shd w:val="clear" w:color="auto" w:fill="006272"/>
            <w:vAlign w:val="center"/>
          </w:tcPr>
          <w:p w14:paraId="2780107A" w14:textId="77777777" w:rsidR="00ED4E52" w:rsidRPr="00133B22" w:rsidRDefault="00ED4E52" w:rsidP="003325E9">
            <w:pPr>
              <w:pStyle w:val="Questionnumber"/>
            </w:pPr>
          </w:p>
        </w:tc>
        <w:tc>
          <w:tcPr>
            <w:tcW w:w="8539" w:type="dxa"/>
            <w:shd w:val="clear" w:color="auto" w:fill="B3D0D5"/>
          </w:tcPr>
          <w:p w14:paraId="7704CD4B" w14:textId="77777777" w:rsidR="00ED4E52" w:rsidRPr="00DE4F32" w:rsidRDefault="00ED4E52" w:rsidP="003325E9">
            <w:pPr>
              <w:pStyle w:val="Numbered"/>
              <w:numPr>
                <w:ilvl w:val="0"/>
                <w:numId w:val="0"/>
              </w:numPr>
              <w:spacing w:before="0"/>
              <w:rPr>
                <w:bCs/>
              </w:rPr>
            </w:pPr>
            <w:r w:rsidRPr="00DE4F32">
              <w:t>In</w:t>
            </w:r>
            <w:r>
              <w:t xml:space="preserve"> relation to </w:t>
            </w:r>
            <w:r w:rsidRPr="006C6400">
              <w:rPr>
                <w:b/>
                <w:bCs/>
              </w:rPr>
              <w:t xml:space="preserve">section </w:t>
            </w:r>
            <w:r w:rsidRPr="00F4718E">
              <w:rPr>
                <w:b/>
                <w:bCs/>
              </w:rPr>
              <w:t>3.</w:t>
            </w:r>
            <w:r>
              <w:rPr>
                <w:b/>
                <w:bCs/>
              </w:rPr>
              <w:t>3</w:t>
            </w:r>
            <w:r w:rsidRPr="008C6E8C">
              <w:t>, w</w:t>
            </w:r>
            <w:r>
              <w:t xml:space="preserve">hich of the three </w:t>
            </w:r>
            <w:r>
              <w:rPr>
                <w:b/>
                <w:bCs/>
              </w:rPr>
              <w:t>D</w:t>
            </w:r>
            <w:r w:rsidRPr="00DE4F32">
              <w:rPr>
                <w:b/>
                <w:bCs/>
              </w:rPr>
              <w:t xml:space="preserve">esignation </w:t>
            </w:r>
            <w:r>
              <w:rPr>
                <w:b/>
                <w:bCs/>
              </w:rPr>
              <w:t>O</w:t>
            </w:r>
            <w:r w:rsidRPr="00DE4F32">
              <w:rPr>
                <w:b/>
                <w:bCs/>
              </w:rPr>
              <w:t>ptions</w:t>
            </w:r>
            <w:r>
              <w:t xml:space="preserve"> </w:t>
            </w:r>
            <w:r>
              <w:rPr>
                <w:bCs/>
              </w:rPr>
              <w:t>do you think is best, and why?</w:t>
            </w:r>
          </w:p>
        </w:tc>
      </w:tr>
      <w:tr w:rsidR="008C6E8C" w:rsidRPr="00133B22" w14:paraId="33FB758E" w14:textId="77777777" w:rsidTr="005509A4">
        <w:trPr>
          <w:cantSplit/>
        </w:trPr>
        <w:tc>
          <w:tcPr>
            <w:tcW w:w="531" w:type="dxa"/>
            <w:shd w:val="clear" w:color="auto" w:fill="006272"/>
            <w:vAlign w:val="center"/>
          </w:tcPr>
          <w:p w14:paraId="3E2C308B" w14:textId="77777777" w:rsidR="008C6E8C" w:rsidRPr="00133B22" w:rsidRDefault="008C6E8C" w:rsidP="006C6400">
            <w:pPr>
              <w:pStyle w:val="Questionnumber"/>
            </w:pPr>
          </w:p>
        </w:tc>
        <w:tc>
          <w:tcPr>
            <w:tcW w:w="8539" w:type="dxa"/>
            <w:shd w:val="clear" w:color="auto" w:fill="B3D0D5"/>
            <w:vAlign w:val="center"/>
          </w:tcPr>
          <w:p w14:paraId="404F0EE6" w14:textId="6F7FB5DC" w:rsidR="008C6E8C" w:rsidRDefault="006E310D" w:rsidP="006C6400">
            <w:pPr>
              <w:pStyle w:val="Numbered"/>
              <w:numPr>
                <w:ilvl w:val="0"/>
                <w:numId w:val="0"/>
              </w:numPr>
              <w:spacing w:before="0"/>
            </w:pPr>
            <w:r w:rsidRPr="00DE4F32">
              <w:t>In</w:t>
            </w:r>
            <w:r>
              <w:t xml:space="preserve"> relation to </w:t>
            </w:r>
            <w:r w:rsidRPr="006C6400">
              <w:rPr>
                <w:b/>
                <w:bCs/>
              </w:rPr>
              <w:t xml:space="preserve">section </w:t>
            </w:r>
            <w:r w:rsidRPr="00F4718E">
              <w:rPr>
                <w:b/>
                <w:bCs/>
              </w:rPr>
              <w:t>3.</w:t>
            </w:r>
            <w:r w:rsidR="00ED4E52">
              <w:rPr>
                <w:b/>
                <w:bCs/>
              </w:rPr>
              <w:t>4</w:t>
            </w:r>
            <w:r w:rsidRPr="008C6E8C">
              <w:t>, w</w:t>
            </w:r>
            <w:r>
              <w:t xml:space="preserve">hich of the three </w:t>
            </w:r>
            <w:r>
              <w:rPr>
                <w:b/>
                <w:bCs/>
              </w:rPr>
              <w:t>O</w:t>
            </w:r>
            <w:r w:rsidRPr="00DE4F32">
              <w:rPr>
                <w:b/>
                <w:bCs/>
              </w:rPr>
              <w:t>ptions</w:t>
            </w:r>
            <w:r>
              <w:t xml:space="preserve"> </w:t>
            </w:r>
            <w:r>
              <w:rPr>
                <w:bCs/>
              </w:rPr>
              <w:t>do you think is best, and why?</w:t>
            </w:r>
          </w:p>
        </w:tc>
      </w:tr>
      <w:tr w:rsidR="00531897" w:rsidRPr="00133B22" w14:paraId="4F7F1F9F" w14:textId="77777777" w:rsidTr="005509A4">
        <w:trPr>
          <w:cantSplit/>
          <w:trHeight w:val="286"/>
        </w:trPr>
        <w:tc>
          <w:tcPr>
            <w:tcW w:w="531" w:type="dxa"/>
            <w:shd w:val="clear" w:color="auto" w:fill="006272"/>
            <w:vAlign w:val="center"/>
          </w:tcPr>
          <w:p w14:paraId="313DCFBD" w14:textId="77777777" w:rsidR="00531897" w:rsidRPr="00133B22" w:rsidRDefault="00531897" w:rsidP="005509A4">
            <w:pPr>
              <w:pStyle w:val="Questionnumber"/>
            </w:pPr>
          </w:p>
        </w:tc>
        <w:tc>
          <w:tcPr>
            <w:tcW w:w="8539" w:type="dxa"/>
            <w:shd w:val="clear" w:color="auto" w:fill="B3D0D5"/>
          </w:tcPr>
          <w:p w14:paraId="2B574F04" w14:textId="77777777" w:rsidR="00531897" w:rsidRPr="00531897" w:rsidRDefault="00531897" w:rsidP="005509A4">
            <w:pPr>
              <w:pStyle w:val="Numbered"/>
              <w:numPr>
                <w:ilvl w:val="0"/>
                <w:numId w:val="0"/>
              </w:numPr>
              <w:spacing w:before="0"/>
            </w:pPr>
            <w:r>
              <w:t xml:space="preserve">Do you have any comments on the preliminary assessment of the options against the criteria in </w:t>
            </w:r>
            <w:r>
              <w:rPr>
                <w:b/>
                <w:bCs/>
              </w:rPr>
              <w:t>Chapter 3</w:t>
            </w:r>
            <w:r>
              <w:t>?</w:t>
            </w:r>
          </w:p>
        </w:tc>
      </w:tr>
    </w:tbl>
    <w:p w14:paraId="6E643AF8" w14:textId="2596CD51" w:rsidR="00B530DC" w:rsidRDefault="00B530DC" w:rsidP="00B530DC">
      <w:pPr>
        <w:rPr>
          <w:rFonts w:asciiTheme="majorHAnsi" w:hAnsiTheme="majorHAnsi"/>
          <w:color w:val="006272" w:themeColor="text2"/>
          <w:sz w:val="26"/>
          <w:szCs w:val="30"/>
        </w:rPr>
      </w:pPr>
      <w:r>
        <w:br w:type="page"/>
      </w:r>
    </w:p>
    <w:p w14:paraId="7F2591C3" w14:textId="287608CC" w:rsidR="00613281" w:rsidRDefault="00C32E4B" w:rsidP="00613281">
      <w:pPr>
        <w:pStyle w:val="Heading1"/>
      </w:pPr>
      <w:bookmarkStart w:id="93" w:name="_Toc104358649"/>
      <w:bookmarkStart w:id="94" w:name="_Toc107919629"/>
      <w:bookmarkStart w:id="95" w:name="_Hlk107578396"/>
      <w:bookmarkEnd w:id="69"/>
      <w:r>
        <w:lastRenderedPageBreak/>
        <w:t>Including a p</w:t>
      </w:r>
      <w:r w:rsidR="00192727">
        <w:t xml:space="preserve">urpose </w:t>
      </w:r>
      <w:r>
        <w:t xml:space="preserve">statement within </w:t>
      </w:r>
      <w:r w:rsidR="005F0440">
        <w:t>the</w:t>
      </w:r>
      <w:r w:rsidR="00192727">
        <w:t xml:space="preserve"> Code and overarching</w:t>
      </w:r>
      <w:r w:rsidR="00A32BEC">
        <w:t xml:space="preserve"> obligations</w:t>
      </w:r>
      <w:bookmarkEnd w:id="70"/>
      <w:bookmarkEnd w:id="93"/>
      <w:bookmarkEnd w:id="94"/>
    </w:p>
    <w:bookmarkEnd w:id="95"/>
    <w:p w14:paraId="5F55EAC3" w14:textId="1174DEDC" w:rsidR="00613281" w:rsidRDefault="00613281" w:rsidP="00613281">
      <w:pPr>
        <w:pStyle w:val="LineTeal"/>
      </w:pPr>
    </w:p>
    <w:p w14:paraId="5C585C82" w14:textId="2D4D20E8" w:rsidR="004B3BF1" w:rsidRDefault="004B3BF1" w:rsidP="004B3BF1">
      <w:pPr>
        <w:pStyle w:val="Heading2"/>
        <w:tabs>
          <w:tab w:val="left" w:pos="567"/>
        </w:tabs>
      </w:pPr>
      <w:bookmarkStart w:id="96" w:name="_Toc103173684"/>
      <w:bookmarkStart w:id="97" w:name="_Toc104358650"/>
      <w:bookmarkStart w:id="98" w:name="_Toc107919630"/>
      <w:r>
        <w:t>4.1</w:t>
      </w:r>
      <w:r>
        <w:tab/>
      </w:r>
      <w:bookmarkEnd w:id="96"/>
      <w:bookmarkEnd w:id="97"/>
      <w:r>
        <w:t>Approach to this issue</w:t>
      </w:r>
      <w:bookmarkEnd w:id="98"/>
    </w:p>
    <w:p w14:paraId="6DF84768" w14:textId="24E6928A" w:rsidR="004B3BF1" w:rsidRDefault="004B3BF1" w:rsidP="004B3BF1">
      <w:pPr>
        <w:pStyle w:val="Numbered"/>
      </w:pPr>
      <w:r>
        <w:t>This chapter discusses two initial issues in the design of the Code:</w:t>
      </w:r>
    </w:p>
    <w:p w14:paraId="0F9EE1C1" w14:textId="29112D52" w:rsidR="004B3BF1" w:rsidRDefault="004B3BF1" w:rsidP="004B3BF1">
      <w:pPr>
        <w:pStyle w:val="Numbered"/>
        <w:numPr>
          <w:ilvl w:val="1"/>
          <w:numId w:val="1"/>
        </w:numPr>
      </w:pPr>
      <w:r>
        <w:t xml:space="preserve">What should be included in the purpose statement within the Code, and </w:t>
      </w:r>
    </w:p>
    <w:p w14:paraId="1304791C" w14:textId="37015D61" w:rsidR="004B3BF1" w:rsidRDefault="004B3BF1" w:rsidP="004B3BF1">
      <w:pPr>
        <w:pStyle w:val="Numbered"/>
        <w:numPr>
          <w:ilvl w:val="1"/>
          <w:numId w:val="1"/>
        </w:numPr>
      </w:pPr>
      <w:r>
        <w:t xml:space="preserve">Any overarching obligations on designated retailers – including issues such as good faith or fair dealing, and the Treaty of Waitangi. </w:t>
      </w:r>
    </w:p>
    <w:p w14:paraId="253F6943" w14:textId="1AD43CE7" w:rsidR="004B3BF1" w:rsidRDefault="004B3BF1" w:rsidP="004B3BF1">
      <w:pPr>
        <w:pStyle w:val="Heading2"/>
        <w:tabs>
          <w:tab w:val="left" w:pos="567"/>
        </w:tabs>
      </w:pPr>
      <w:bookmarkStart w:id="99" w:name="_Toc107919631"/>
      <w:r>
        <w:t>4.2</w:t>
      </w:r>
      <w:r>
        <w:tab/>
        <w:t>Purpose of the Code</w:t>
      </w:r>
      <w:bookmarkEnd w:id="99"/>
    </w:p>
    <w:p w14:paraId="12AFE0AE" w14:textId="00725238" w:rsidR="00C14485" w:rsidRPr="00D114F4" w:rsidRDefault="004B3BF1" w:rsidP="00204565">
      <w:pPr>
        <w:pStyle w:val="Numbered"/>
        <w:rPr>
          <w:i/>
          <w:iCs/>
        </w:rPr>
      </w:pPr>
      <w:r>
        <w:t xml:space="preserve">Including a purpose statement in the Code would explain ‘why’ the Code exists and is good regulatory practice. </w:t>
      </w:r>
      <w:r w:rsidR="00F11CE9">
        <w:t>The</w:t>
      </w:r>
      <w:r w:rsidR="00A925E4" w:rsidRPr="00590989">
        <w:t xml:space="preserve"> purpose of a Code </w:t>
      </w:r>
      <w:r w:rsidR="00BE6FCD">
        <w:t>should</w:t>
      </w:r>
      <w:r w:rsidR="00A925E4" w:rsidRPr="00590989">
        <w:t xml:space="preserve"> </w:t>
      </w:r>
      <w:r w:rsidR="00911961">
        <w:t>link to the purpose of the legislation it will sit under (</w:t>
      </w:r>
      <w:r w:rsidR="00C14485">
        <w:t xml:space="preserve">likely to be some </w:t>
      </w:r>
      <w:r w:rsidR="00911961">
        <w:t>form of Grocery Industry</w:t>
      </w:r>
      <w:r w:rsidR="00D114F4">
        <w:t xml:space="preserve"> Competition</w:t>
      </w:r>
      <w:r w:rsidR="00911961">
        <w:t xml:space="preserve"> Act), which </w:t>
      </w:r>
      <w:r w:rsidR="00C14485">
        <w:t xml:space="preserve">may well have a purpose </w:t>
      </w:r>
      <w:r w:rsidR="00F11CE9">
        <w:t>similar</w:t>
      </w:r>
      <w:r w:rsidR="00A925E4" w:rsidRPr="00590989">
        <w:t xml:space="preserve"> to </w:t>
      </w:r>
      <w:r w:rsidR="00BE6FCD">
        <w:t xml:space="preserve">the </w:t>
      </w:r>
      <w:r w:rsidR="00A925E4" w:rsidRPr="00590989">
        <w:t>Commerce Act</w:t>
      </w:r>
      <w:r w:rsidR="006C6400">
        <w:t xml:space="preserve"> 1986</w:t>
      </w:r>
      <w:r w:rsidR="00F314ED">
        <w:t>:</w:t>
      </w:r>
      <w:r w:rsidR="00A925E4" w:rsidRPr="00590989">
        <w:t xml:space="preserve"> </w:t>
      </w:r>
      <w:r w:rsidR="00BE6FCD" w:rsidRPr="00D114F4">
        <w:rPr>
          <w:i/>
          <w:iCs/>
        </w:rPr>
        <w:t>to promote competition in markets for the long-term benefit of consumers within New Zealand</w:t>
      </w:r>
      <w:r w:rsidR="00BE6FCD" w:rsidRPr="001E52E8">
        <w:rPr>
          <w:vertAlign w:val="superscript"/>
        </w:rPr>
        <w:footnoteReference w:id="14"/>
      </w:r>
      <w:r w:rsidR="00590989">
        <w:t xml:space="preserve"> </w:t>
      </w:r>
      <w:bookmarkStart w:id="100" w:name="_Hlk100304945"/>
      <w:r w:rsidR="00D114F4">
        <w:t xml:space="preserve">or </w:t>
      </w:r>
      <w:r w:rsidR="00DB7440">
        <w:t>the Fair Trading Act</w:t>
      </w:r>
      <w:r w:rsidR="006C6400">
        <w:t xml:space="preserve"> 1986</w:t>
      </w:r>
      <w:r w:rsidR="00F314ED">
        <w:t>:</w:t>
      </w:r>
      <w:r w:rsidR="00DB7440">
        <w:t xml:space="preserve"> </w:t>
      </w:r>
      <w:r w:rsidR="00DB7440" w:rsidRPr="00D114F4">
        <w:rPr>
          <w:i/>
          <w:iCs/>
        </w:rPr>
        <w:t>to contribute to a trading environment in which— (a) the interests of consumers are protected; and (b) businesses compete effectively; and (c) consumers and businesses participate confidently.</w:t>
      </w:r>
      <w:r w:rsidR="00C14485">
        <w:t xml:space="preserve"> </w:t>
      </w:r>
    </w:p>
    <w:p w14:paraId="52EC0F03" w14:textId="2C8A3620" w:rsidR="00C14485" w:rsidRDefault="00C14485" w:rsidP="00267942">
      <w:pPr>
        <w:pStyle w:val="Numbered"/>
      </w:pPr>
      <w:r>
        <w:t xml:space="preserve">The purpose </w:t>
      </w:r>
      <w:r w:rsidR="006C6400">
        <w:t xml:space="preserve">statement could </w:t>
      </w:r>
      <w:r>
        <w:t>set some boundaries around what the Code will or will not do. For example</w:t>
      </w:r>
      <w:r w:rsidR="006F4948">
        <w:t xml:space="preserve"> allowing the Code to</w:t>
      </w:r>
      <w:r>
        <w:t>:</w:t>
      </w:r>
    </w:p>
    <w:p w14:paraId="09C5D1EC" w14:textId="4D4B43D7" w:rsidR="00A11479" w:rsidRDefault="00A11479" w:rsidP="00C14485">
      <w:pPr>
        <w:pStyle w:val="Numbered"/>
        <w:numPr>
          <w:ilvl w:val="1"/>
          <w:numId w:val="1"/>
        </w:numPr>
      </w:pPr>
      <w:r>
        <w:t xml:space="preserve">apply to all </w:t>
      </w:r>
      <w:r w:rsidR="006C6400">
        <w:t xml:space="preserve">grocery </w:t>
      </w:r>
      <w:r>
        <w:t>suppl</w:t>
      </w:r>
      <w:r w:rsidR="006C6400">
        <w:t>y</w:t>
      </w:r>
      <w:r>
        <w:t xml:space="preserve"> agreements </w:t>
      </w:r>
      <w:r w:rsidR="006F4948">
        <w:t xml:space="preserve">of the designated retailer, </w:t>
      </w:r>
      <w:r>
        <w:t xml:space="preserve">including the commercial arrangements </w:t>
      </w:r>
      <w:r w:rsidR="006F4948">
        <w:t>with any</w:t>
      </w:r>
      <w:r>
        <w:t xml:space="preserve"> private label </w:t>
      </w:r>
      <w:r w:rsidR="006F4948">
        <w:t>suppliers</w:t>
      </w:r>
      <w:r w:rsidR="0027231D">
        <w:t>.</w:t>
      </w:r>
    </w:p>
    <w:p w14:paraId="0445F130" w14:textId="497B094A" w:rsidR="00A11479" w:rsidRPr="00AC02D1" w:rsidRDefault="00A11479" w:rsidP="00C14485">
      <w:pPr>
        <w:pStyle w:val="Numbered"/>
        <w:numPr>
          <w:ilvl w:val="1"/>
          <w:numId w:val="1"/>
        </w:numPr>
      </w:pPr>
      <w:r>
        <w:t xml:space="preserve">include </w:t>
      </w:r>
      <w:r>
        <w:rPr>
          <w:lang w:val="mi-NZ"/>
        </w:rPr>
        <w:t xml:space="preserve">Māori </w:t>
      </w:r>
      <w:r>
        <w:rPr>
          <w:lang w:val="en-US"/>
        </w:rPr>
        <w:t xml:space="preserve">economic development, or considerations for respecting </w:t>
      </w:r>
      <w:r>
        <w:t xml:space="preserve">tikanga </w:t>
      </w:r>
      <w:r>
        <w:rPr>
          <w:lang w:val="mi-NZ"/>
        </w:rPr>
        <w:t xml:space="preserve">Māori </w:t>
      </w:r>
      <w:r>
        <w:rPr>
          <w:lang w:val="en-US"/>
        </w:rPr>
        <w:t>in the trading relationship</w:t>
      </w:r>
      <w:r w:rsidR="006C6400">
        <w:rPr>
          <w:lang w:val="en-US"/>
        </w:rPr>
        <w:t xml:space="preserve"> between </w:t>
      </w:r>
      <w:r w:rsidR="006112A1">
        <w:rPr>
          <w:lang w:val="en-US"/>
        </w:rPr>
        <w:t xml:space="preserve">the designated </w:t>
      </w:r>
      <w:r w:rsidR="006C6400">
        <w:rPr>
          <w:lang w:val="en-US"/>
        </w:rPr>
        <w:t>retailer and supplier</w:t>
      </w:r>
      <w:r w:rsidR="006F4948">
        <w:rPr>
          <w:lang w:val="en-US"/>
        </w:rPr>
        <w:t>.</w:t>
      </w:r>
    </w:p>
    <w:p w14:paraId="07421384" w14:textId="4038A45F" w:rsidR="00A11479" w:rsidRPr="00AC02D1" w:rsidRDefault="002D3A7F" w:rsidP="00C14485">
      <w:pPr>
        <w:pStyle w:val="Numbered"/>
        <w:numPr>
          <w:ilvl w:val="1"/>
          <w:numId w:val="1"/>
        </w:numPr>
      </w:pPr>
      <w:r>
        <w:rPr>
          <w:lang w:val="en-US"/>
        </w:rPr>
        <w:t>consider</w:t>
      </w:r>
      <w:r w:rsidR="006C6400">
        <w:rPr>
          <w:lang w:val="en-US"/>
        </w:rPr>
        <w:t xml:space="preserve"> </w:t>
      </w:r>
      <w:r w:rsidR="00A11479">
        <w:rPr>
          <w:lang w:val="en-US"/>
        </w:rPr>
        <w:t xml:space="preserve">the impacts that the </w:t>
      </w:r>
      <w:r w:rsidR="006112A1">
        <w:rPr>
          <w:lang w:val="en-US"/>
        </w:rPr>
        <w:t>designated</w:t>
      </w:r>
      <w:r w:rsidR="00A11479">
        <w:rPr>
          <w:lang w:val="en-US"/>
        </w:rPr>
        <w:t xml:space="preserve"> retailer’s trading relationship with </w:t>
      </w:r>
      <w:r w:rsidR="006C6400">
        <w:rPr>
          <w:lang w:val="en-US"/>
        </w:rPr>
        <w:t>a</w:t>
      </w:r>
      <w:r w:rsidR="00A11479">
        <w:rPr>
          <w:lang w:val="en-US"/>
        </w:rPr>
        <w:t xml:space="preserve"> supplier may have on other retailers</w:t>
      </w:r>
      <w:r w:rsidR="0027231D">
        <w:rPr>
          <w:lang w:val="en-US"/>
        </w:rPr>
        <w:t>.</w:t>
      </w:r>
      <w:r w:rsidR="00A11479">
        <w:rPr>
          <w:lang w:val="en-US"/>
        </w:rPr>
        <w:t xml:space="preserve"> </w:t>
      </w:r>
      <w:r w:rsidR="0027231D">
        <w:rPr>
          <w:lang w:val="en-US"/>
        </w:rPr>
        <w:t>T</w:t>
      </w:r>
      <w:r w:rsidR="00A11479">
        <w:rPr>
          <w:lang w:val="en-US"/>
        </w:rPr>
        <w:t xml:space="preserve">his would allow </w:t>
      </w:r>
      <w:r w:rsidR="006C6400">
        <w:rPr>
          <w:lang w:val="en-US"/>
        </w:rPr>
        <w:t xml:space="preserve">for </w:t>
      </w:r>
      <w:r w:rsidR="00A11479">
        <w:rPr>
          <w:lang w:val="en-US"/>
        </w:rPr>
        <w:t>consideration of best price guarantee clauses or exclusivity clauses in the future</w:t>
      </w:r>
      <w:r w:rsidR="0027231D">
        <w:rPr>
          <w:lang w:val="en-US"/>
        </w:rPr>
        <w:t>.</w:t>
      </w:r>
    </w:p>
    <w:p w14:paraId="15C8A02B" w14:textId="1E8AFF82" w:rsidR="00A11479" w:rsidRPr="00AC02D1" w:rsidRDefault="00A11479" w:rsidP="00C14485">
      <w:pPr>
        <w:pStyle w:val="Numbered"/>
        <w:numPr>
          <w:ilvl w:val="1"/>
          <w:numId w:val="1"/>
        </w:numPr>
      </w:pPr>
      <w:r>
        <w:rPr>
          <w:lang w:val="en-US"/>
        </w:rPr>
        <w:t xml:space="preserve">support (or at the least not hinder) supplier participation in any wholesale supply arrangements by the </w:t>
      </w:r>
      <w:r w:rsidR="006112A1">
        <w:rPr>
          <w:lang w:val="en-US"/>
        </w:rPr>
        <w:t>designated</w:t>
      </w:r>
      <w:r>
        <w:rPr>
          <w:lang w:val="en-US"/>
        </w:rPr>
        <w:t xml:space="preserve"> retailer. </w:t>
      </w:r>
    </w:p>
    <w:p w14:paraId="39329E36" w14:textId="1969E694" w:rsidR="006C6400" w:rsidRDefault="00C92DFF">
      <w:pPr>
        <w:pStyle w:val="Numbered"/>
      </w:pPr>
      <w:r>
        <w:t>Looking to international examples, t</w:t>
      </w:r>
      <w:r w:rsidR="006C6400">
        <w:t>he</w:t>
      </w:r>
      <w:r w:rsidR="006C6400" w:rsidRPr="00CB7AAD">
        <w:t xml:space="preserve"> </w:t>
      </w:r>
      <w:r w:rsidR="006C6400" w:rsidRPr="00FF6E5F">
        <w:t>UK Code</w:t>
      </w:r>
      <w:r w:rsidR="006C6400">
        <w:t xml:space="preserve"> does not </w:t>
      </w:r>
      <w:r w:rsidR="005663A0">
        <w:t>include a purpose statement</w:t>
      </w:r>
      <w:r w:rsidR="00547FB3">
        <w:t xml:space="preserve">. </w:t>
      </w:r>
      <w:bookmarkEnd w:id="100"/>
      <w:r w:rsidR="00FF6E5F">
        <w:t>T</w:t>
      </w:r>
      <w:r w:rsidR="006445AA">
        <w:t xml:space="preserve">he Australian Code has </w:t>
      </w:r>
      <w:r w:rsidR="00140609">
        <w:t xml:space="preserve">a purpose </w:t>
      </w:r>
      <w:r w:rsidR="00940861">
        <w:t xml:space="preserve">statement </w:t>
      </w:r>
      <w:r w:rsidR="006445AA">
        <w:t xml:space="preserve">that </w:t>
      </w:r>
      <w:r w:rsidR="008A4E59">
        <w:t xml:space="preserve">is </w:t>
      </w:r>
      <w:r w:rsidR="00294F9E">
        <w:t xml:space="preserve">detailed and similar to that of the Fair Trading Act. </w:t>
      </w:r>
      <w:r w:rsidR="00940861">
        <w:t>The purpose statement</w:t>
      </w:r>
      <w:r w:rsidR="00294F9E">
        <w:t xml:space="preserve"> clearly establishes that the scope of the </w:t>
      </w:r>
      <w:r w:rsidR="00D114F4">
        <w:t xml:space="preserve">Australian </w:t>
      </w:r>
      <w:r w:rsidR="00294F9E">
        <w:t xml:space="preserve">Code </w:t>
      </w:r>
      <w:r w:rsidR="00940861">
        <w:t>is</w:t>
      </w:r>
      <w:r w:rsidR="00294F9E">
        <w:t xml:space="preserve"> to </w:t>
      </w:r>
      <w:r w:rsidR="00D114F4">
        <w:t xml:space="preserve">promote good faith in </w:t>
      </w:r>
      <w:r w:rsidR="00294F9E">
        <w:t xml:space="preserve">business </w:t>
      </w:r>
      <w:r w:rsidR="00D114F4">
        <w:t>dealings</w:t>
      </w:r>
      <w:r w:rsidR="00294F9E">
        <w:t xml:space="preserve"> between suppliers and retailers</w:t>
      </w:r>
      <w:r w:rsidR="004F5AB2">
        <w:t xml:space="preserve">, </w:t>
      </w:r>
      <w:r w:rsidR="00294F9E">
        <w:t xml:space="preserve">to improve </w:t>
      </w:r>
      <w:r w:rsidR="00294F9E">
        <w:lastRenderedPageBreak/>
        <w:t>transparency and certainty</w:t>
      </w:r>
      <w:r w:rsidR="004F5AB2">
        <w:t xml:space="preserve"> in the transactions and to provide a dispute resolution process (</w:t>
      </w:r>
      <w:r w:rsidR="00940861">
        <w:t>see</w:t>
      </w:r>
      <w:r w:rsidR="004F5AB2">
        <w:t xml:space="preserve"> Section 2 of the Australian Code)</w:t>
      </w:r>
      <w:r w:rsidR="00D114F4">
        <w:t>.</w:t>
      </w:r>
    </w:p>
    <w:p w14:paraId="4C27E627" w14:textId="4D5A3F8E" w:rsidR="007C7830" w:rsidRDefault="00D314E5">
      <w:pPr>
        <w:pStyle w:val="Numbered"/>
      </w:pPr>
      <w:r w:rsidRPr="00CB7AAD">
        <w:t>W</w:t>
      </w:r>
      <w:r w:rsidR="00253D54" w:rsidRPr="00CB7AAD">
        <w:t xml:space="preserve">e </w:t>
      </w:r>
      <w:r w:rsidRPr="00CB7AAD">
        <w:t xml:space="preserve">have developed </w:t>
      </w:r>
      <w:r w:rsidR="001E701B" w:rsidRPr="00CB7AAD">
        <w:t xml:space="preserve">three </w:t>
      </w:r>
      <w:r w:rsidR="00253D54" w:rsidRPr="00CB7AAD">
        <w:t>options for purpose statements</w:t>
      </w:r>
      <w:r w:rsidR="00D114F4">
        <w:t>:</w:t>
      </w:r>
      <w:r w:rsidR="00B61D1F">
        <w:t xml:space="preserve"> </w:t>
      </w:r>
      <w:bookmarkStart w:id="101" w:name="_Hlk101964142"/>
    </w:p>
    <w:tbl>
      <w:tblPr>
        <w:tblStyle w:val="TableGrid"/>
        <w:tblW w:w="5000" w:type="pct"/>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2487"/>
        <w:gridCol w:w="3220"/>
        <w:gridCol w:w="3363"/>
      </w:tblGrid>
      <w:tr w:rsidR="007C7830" w:rsidRPr="007C7830" w14:paraId="2F8F0B93" w14:textId="77777777" w:rsidTr="00095AE8">
        <w:tc>
          <w:tcPr>
            <w:tcW w:w="1371" w:type="pct"/>
            <w:shd w:val="clear" w:color="auto" w:fill="B3D0D5"/>
          </w:tcPr>
          <w:p w14:paraId="534E5E54" w14:textId="250C9600" w:rsidR="007C7830" w:rsidRPr="007C7830" w:rsidRDefault="007C7830" w:rsidP="00267942">
            <w:pPr>
              <w:pStyle w:val="Numbered"/>
              <w:numPr>
                <w:ilvl w:val="0"/>
                <w:numId w:val="0"/>
              </w:numPr>
              <w:spacing w:before="0"/>
              <w:rPr>
                <w:sz w:val="20"/>
                <w:szCs w:val="20"/>
              </w:rPr>
            </w:pPr>
            <w:r w:rsidRPr="007C7830">
              <w:rPr>
                <w:b/>
                <w:bCs/>
                <w:sz w:val="20"/>
                <w:szCs w:val="20"/>
              </w:rPr>
              <w:t xml:space="preserve">Option 1 (Principle-based Code): </w:t>
            </w:r>
          </w:p>
        </w:tc>
        <w:tc>
          <w:tcPr>
            <w:tcW w:w="1775" w:type="pct"/>
            <w:shd w:val="clear" w:color="auto" w:fill="B3D0D5"/>
          </w:tcPr>
          <w:p w14:paraId="0085AEDC" w14:textId="395EF7EA" w:rsidR="007C7830" w:rsidRPr="007C7830" w:rsidRDefault="007C7830" w:rsidP="00267942">
            <w:pPr>
              <w:pStyle w:val="Numbered"/>
              <w:numPr>
                <w:ilvl w:val="0"/>
                <w:numId w:val="0"/>
              </w:numPr>
              <w:spacing w:before="0"/>
              <w:rPr>
                <w:sz w:val="20"/>
                <w:szCs w:val="20"/>
              </w:rPr>
            </w:pPr>
            <w:r w:rsidRPr="007C7830">
              <w:rPr>
                <w:b/>
                <w:bCs/>
                <w:sz w:val="20"/>
                <w:szCs w:val="20"/>
              </w:rPr>
              <w:t>Option 2 (</w:t>
            </w:r>
            <w:r w:rsidR="00D3390A" w:rsidRPr="00D3390A">
              <w:rPr>
                <w:b/>
                <w:bCs/>
                <w:sz w:val="20"/>
                <w:szCs w:val="20"/>
              </w:rPr>
              <w:t>Prescriptive Code</w:t>
            </w:r>
            <w:r w:rsidRPr="007C7830">
              <w:rPr>
                <w:b/>
                <w:bCs/>
                <w:sz w:val="20"/>
                <w:szCs w:val="20"/>
              </w:rPr>
              <w:t xml:space="preserve">): </w:t>
            </w:r>
          </w:p>
        </w:tc>
        <w:tc>
          <w:tcPr>
            <w:tcW w:w="1855" w:type="pct"/>
            <w:shd w:val="clear" w:color="auto" w:fill="B3D0D5"/>
          </w:tcPr>
          <w:p w14:paraId="2391E871" w14:textId="1B23E659" w:rsidR="007C7830" w:rsidRPr="007C7830" w:rsidRDefault="007C7830" w:rsidP="00267942">
            <w:pPr>
              <w:pStyle w:val="Numbered"/>
              <w:numPr>
                <w:ilvl w:val="0"/>
                <w:numId w:val="0"/>
              </w:numPr>
              <w:spacing w:before="0"/>
              <w:rPr>
                <w:sz w:val="20"/>
                <w:szCs w:val="20"/>
              </w:rPr>
            </w:pPr>
            <w:r w:rsidRPr="007C7830">
              <w:rPr>
                <w:b/>
                <w:bCs/>
                <w:sz w:val="20"/>
                <w:szCs w:val="20"/>
              </w:rPr>
              <w:t>Option 3 (</w:t>
            </w:r>
            <w:r w:rsidR="00D3390A" w:rsidRPr="00D3390A">
              <w:rPr>
                <w:b/>
                <w:bCs/>
                <w:sz w:val="20"/>
                <w:szCs w:val="20"/>
              </w:rPr>
              <w:t xml:space="preserve">Alternative </w:t>
            </w:r>
            <w:r w:rsidRPr="007C7830">
              <w:rPr>
                <w:b/>
                <w:bCs/>
                <w:sz w:val="20"/>
                <w:szCs w:val="20"/>
              </w:rPr>
              <w:t xml:space="preserve">Code): </w:t>
            </w:r>
          </w:p>
        </w:tc>
      </w:tr>
      <w:tr w:rsidR="007C7830" w:rsidRPr="00133B22" w14:paraId="33A9C780" w14:textId="77777777" w:rsidTr="00095AE8">
        <w:tc>
          <w:tcPr>
            <w:tcW w:w="1371" w:type="pct"/>
            <w:shd w:val="clear" w:color="auto" w:fill="B3D0D5"/>
          </w:tcPr>
          <w:p w14:paraId="415A07E9" w14:textId="1A44F6A4" w:rsidR="000264ED" w:rsidRDefault="006124ED" w:rsidP="004B5F4B">
            <w:pPr>
              <w:pStyle w:val="Numbered"/>
              <w:numPr>
                <w:ilvl w:val="0"/>
                <w:numId w:val="0"/>
              </w:numPr>
              <w:spacing w:before="0" w:after="120"/>
              <w:rPr>
                <w:sz w:val="20"/>
                <w:szCs w:val="20"/>
              </w:rPr>
            </w:pPr>
            <w:r w:rsidRPr="007C7830">
              <w:rPr>
                <w:sz w:val="20"/>
                <w:szCs w:val="20"/>
              </w:rPr>
              <w:t xml:space="preserve">A </w:t>
            </w:r>
            <w:r w:rsidR="004F5AB2">
              <w:rPr>
                <w:sz w:val="20"/>
                <w:szCs w:val="20"/>
              </w:rPr>
              <w:t xml:space="preserve">purpose </w:t>
            </w:r>
            <w:r w:rsidR="000264ED">
              <w:rPr>
                <w:sz w:val="20"/>
                <w:szCs w:val="20"/>
              </w:rPr>
              <w:t xml:space="preserve">to improve the balance of negotiating power between suppliers and </w:t>
            </w:r>
            <w:r w:rsidR="002D3A7F">
              <w:rPr>
                <w:sz w:val="20"/>
                <w:szCs w:val="20"/>
              </w:rPr>
              <w:t xml:space="preserve">designated </w:t>
            </w:r>
            <w:r w:rsidR="000264ED">
              <w:rPr>
                <w:sz w:val="20"/>
                <w:szCs w:val="20"/>
              </w:rPr>
              <w:t xml:space="preserve">retailers. </w:t>
            </w:r>
          </w:p>
          <w:p w14:paraId="5A24EFDF" w14:textId="77777777" w:rsidR="007C7830" w:rsidRPr="00517B92" w:rsidRDefault="007C7830" w:rsidP="004B5F4B">
            <w:pPr>
              <w:pStyle w:val="Numbered"/>
              <w:numPr>
                <w:ilvl w:val="0"/>
                <w:numId w:val="0"/>
              </w:numPr>
              <w:spacing w:before="0" w:after="120"/>
              <w:rPr>
                <w:b/>
                <w:bCs/>
                <w:highlight w:val="yellow"/>
              </w:rPr>
            </w:pPr>
          </w:p>
        </w:tc>
        <w:tc>
          <w:tcPr>
            <w:tcW w:w="1775" w:type="pct"/>
            <w:shd w:val="clear" w:color="auto" w:fill="B3D0D5"/>
          </w:tcPr>
          <w:p w14:paraId="18D27AFB" w14:textId="75643D78" w:rsidR="00D114F4" w:rsidRDefault="00D114F4" w:rsidP="00D114F4">
            <w:pPr>
              <w:pStyle w:val="Numbered"/>
              <w:numPr>
                <w:ilvl w:val="0"/>
                <w:numId w:val="0"/>
              </w:numPr>
              <w:spacing w:before="0" w:after="120"/>
              <w:rPr>
                <w:sz w:val="20"/>
                <w:szCs w:val="20"/>
              </w:rPr>
            </w:pPr>
            <w:r>
              <w:rPr>
                <w:sz w:val="20"/>
                <w:szCs w:val="20"/>
              </w:rPr>
              <w:t>A purpose that</w:t>
            </w:r>
            <w:r w:rsidR="00BE1265">
              <w:rPr>
                <w:sz w:val="20"/>
                <w:szCs w:val="20"/>
              </w:rPr>
              <w:t xml:space="preserve"> p</w:t>
            </w:r>
            <w:r>
              <w:rPr>
                <w:sz w:val="20"/>
                <w:szCs w:val="20"/>
              </w:rPr>
              <w:t>romotes competition in the market for the long-term consumer benefit by:</w:t>
            </w:r>
          </w:p>
          <w:p w14:paraId="5DC4BB29" w14:textId="77777777" w:rsidR="00D114F4" w:rsidRPr="00D114F4" w:rsidRDefault="00D114F4" w:rsidP="00D114F4">
            <w:pPr>
              <w:pStyle w:val="Numbered"/>
              <w:numPr>
                <w:ilvl w:val="0"/>
                <w:numId w:val="11"/>
              </w:numPr>
              <w:spacing w:before="0" w:after="120"/>
              <w:rPr>
                <w:b/>
                <w:bCs/>
              </w:rPr>
            </w:pPr>
            <w:r>
              <w:rPr>
                <w:sz w:val="20"/>
                <w:szCs w:val="20"/>
              </w:rPr>
              <w:t>improving good faith in trading relationships</w:t>
            </w:r>
          </w:p>
          <w:p w14:paraId="5F4CF4C6" w14:textId="77777777" w:rsidR="00D114F4" w:rsidRPr="00D114F4" w:rsidRDefault="00D114F4" w:rsidP="00D114F4">
            <w:pPr>
              <w:pStyle w:val="Numbered"/>
              <w:numPr>
                <w:ilvl w:val="0"/>
                <w:numId w:val="11"/>
              </w:numPr>
              <w:spacing w:before="0" w:after="120"/>
              <w:rPr>
                <w:b/>
                <w:bCs/>
              </w:rPr>
            </w:pPr>
            <w:r>
              <w:rPr>
                <w:sz w:val="20"/>
                <w:szCs w:val="20"/>
              </w:rPr>
              <w:t>improving transparency of supply agreements</w:t>
            </w:r>
          </w:p>
          <w:p w14:paraId="26574AD0" w14:textId="69399FED" w:rsidR="00D114F4" w:rsidRPr="00D114F4" w:rsidRDefault="00D114F4" w:rsidP="00D114F4">
            <w:pPr>
              <w:pStyle w:val="Numbered"/>
              <w:numPr>
                <w:ilvl w:val="0"/>
                <w:numId w:val="11"/>
              </w:numPr>
              <w:spacing w:before="0" w:after="120"/>
              <w:rPr>
                <w:b/>
                <w:bCs/>
              </w:rPr>
            </w:pPr>
            <w:r>
              <w:rPr>
                <w:sz w:val="20"/>
                <w:szCs w:val="20"/>
              </w:rPr>
              <w:t>prohibiting or limiting a range of conduct that may transfer costs or risks</w:t>
            </w:r>
          </w:p>
          <w:p w14:paraId="50C3E844" w14:textId="7DDDE334" w:rsidR="007C7830" w:rsidRDefault="00D114F4" w:rsidP="00D114F4">
            <w:pPr>
              <w:pStyle w:val="Numbered"/>
              <w:numPr>
                <w:ilvl w:val="0"/>
                <w:numId w:val="11"/>
              </w:numPr>
              <w:spacing w:before="0" w:after="120"/>
              <w:rPr>
                <w:b/>
                <w:bCs/>
              </w:rPr>
            </w:pPr>
            <w:r>
              <w:rPr>
                <w:sz w:val="20"/>
                <w:szCs w:val="20"/>
              </w:rPr>
              <w:t>providing a dispute resolution mechanism.</w:t>
            </w:r>
            <w:r w:rsidR="000264ED">
              <w:rPr>
                <w:sz w:val="20"/>
                <w:szCs w:val="20"/>
              </w:rPr>
              <w:t xml:space="preserve"> </w:t>
            </w:r>
          </w:p>
        </w:tc>
        <w:tc>
          <w:tcPr>
            <w:tcW w:w="1855" w:type="pct"/>
            <w:shd w:val="clear" w:color="auto" w:fill="B3D0D5"/>
          </w:tcPr>
          <w:p w14:paraId="06581E06" w14:textId="6C5430BD" w:rsidR="00D114F4" w:rsidRDefault="00D114F4" w:rsidP="00D114F4">
            <w:pPr>
              <w:pStyle w:val="Numbered"/>
              <w:numPr>
                <w:ilvl w:val="0"/>
                <w:numId w:val="0"/>
              </w:numPr>
              <w:spacing w:before="0" w:after="120"/>
              <w:rPr>
                <w:sz w:val="20"/>
                <w:szCs w:val="20"/>
              </w:rPr>
            </w:pPr>
            <w:r>
              <w:rPr>
                <w:sz w:val="20"/>
                <w:szCs w:val="20"/>
              </w:rPr>
              <w:t>A purpose that</w:t>
            </w:r>
            <w:r w:rsidR="00BE1265">
              <w:rPr>
                <w:sz w:val="20"/>
                <w:szCs w:val="20"/>
              </w:rPr>
              <w:t xml:space="preserve"> p</w:t>
            </w:r>
            <w:r>
              <w:rPr>
                <w:sz w:val="20"/>
                <w:szCs w:val="20"/>
              </w:rPr>
              <w:t>romotes competition in the market for the long-term consumer benefit by:</w:t>
            </w:r>
          </w:p>
          <w:p w14:paraId="7D846CFF" w14:textId="29DC7520" w:rsidR="00D114F4" w:rsidRPr="00D114F4" w:rsidRDefault="00D114F4" w:rsidP="00BE1265">
            <w:pPr>
              <w:pStyle w:val="Numbered"/>
              <w:numPr>
                <w:ilvl w:val="0"/>
                <w:numId w:val="23"/>
              </w:numPr>
              <w:spacing w:before="0" w:after="120"/>
              <w:rPr>
                <w:b/>
                <w:bCs/>
              </w:rPr>
            </w:pPr>
            <w:r>
              <w:rPr>
                <w:sz w:val="20"/>
                <w:szCs w:val="20"/>
              </w:rPr>
              <w:t>improving good faith and fair dealing in trading relationships</w:t>
            </w:r>
          </w:p>
          <w:p w14:paraId="5C5661E7" w14:textId="77777777" w:rsidR="00D114F4" w:rsidRPr="00D114F4" w:rsidRDefault="00D114F4" w:rsidP="00BE1265">
            <w:pPr>
              <w:pStyle w:val="Numbered"/>
              <w:numPr>
                <w:ilvl w:val="0"/>
                <w:numId w:val="23"/>
              </w:numPr>
              <w:spacing w:before="0" w:after="120"/>
              <w:rPr>
                <w:b/>
                <w:bCs/>
              </w:rPr>
            </w:pPr>
            <w:r>
              <w:rPr>
                <w:sz w:val="20"/>
                <w:szCs w:val="20"/>
              </w:rPr>
              <w:t>improving transparency of supply agreements</w:t>
            </w:r>
          </w:p>
          <w:p w14:paraId="4B9ADCD4" w14:textId="77777777" w:rsidR="00D114F4" w:rsidRDefault="00D114F4" w:rsidP="00BE1265">
            <w:pPr>
              <w:pStyle w:val="Numbered"/>
              <w:numPr>
                <w:ilvl w:val="0"/>
                <w:numId w:val="23"/>
              </w:numPr>
              <w:spacing w:before="0" w:after="120"/>
              <w:rPr>
                <w:sz w:val="20"/>
                <w:szCs w:val="20"/>
              </w:rPr>
            </w:pPr>
            <w:r w:rsidRPr="00D114F4">
              <w:rPr>
                <w:sz w:val="20"/>
                <w:szCs w:val="20"/>
              </w:rPr>
              <w:t xml:space="preserve">prohibiting or limiting a range of conduct that may transfer costs or risks </w:t>
            </w:r>
          </w:p>
          <w:p w14:paraId="6E38CC78" w14:textId="6062D031" w:rsidR="00D114F4" w:rsidRDefault="00D114F4" w:rsidP="00BE1265">
            <w:pPr>
              <w:pStyle w:val="Numbered"/>
              <w:numPr>
                <w:ilvl w:val="0"/>
                <w:numId w:val="23"/>
              </w:numPr>
              <w:spacing w:before="0" w:after="120"/>
              <w:rPr>
                <w:sz w:val="20"/>
                <w:szCs w:val="20"/>
              </w:rPr>
            </w:pPr>
            <w:r>
              <w:rPr>
                <w:sz w:val="20"/>
                <w:szCs w:val="20"/>
              </w:rPr>
              <w:t xml:space="preserve">supporting economic development in the grocery industry including the entry and expansion of retail grocery </w:t>
            </w:r>
            <w:r w:rsidR="00BE1265">
              <w:rPr>
                <w:sz w:val="20"/>
                <w:szCs w:val="20"/>
              </w:rPr>
              <w:t>activity and any wholesale grocery activity</w:t>
            </w:r>
          </w:p>
          <w:p w14:paraId="41CF2E78" w14:textId="77777777" w:rsidR="00BE1265" w:rsidRPr="00D114F4" w:rsidRDefault="00BE1265" w:rsidP="00BE1265">
            <w:pPr>
              <w:pStyle w:val="Numbered"/>
              <w:numPr>
                <w:ilvl w:val="0"/>
                <w:numId w:val="23"/>
              </w:numPr>
              <w:spacing w:before="0" w:after="120"/>
              <w:rPr>
                <w:sz w:val="20"/>
                <w:szCs w:val="20"/>
              </w:rPr>
            </w:pPr>
            <w:r w:rsidRPr="00D114F4">
              <w:rPr>
                <w:sz w:val="20"/>
                <w:szCs w:val="20"/>
                <w:lang w:val="mi-NZ"/>
              </w:rPr>
              <w:t xml:space="preserve">Māori </w:t>
            </w:r>
            <w:r w:rsidRPr="00D114F4">
              <w:rPr>
                <w:sz w:val="20"/>
                <w:szCs w:val="20"/>
                <w:lang w:val="en-US"/>
              </w:rPr>
              <w:t xml:space="preserve">economic development / tikanga </w:t>
            </w:r>
            <w:r w:rsidRPr="00D114F4">
              <w:rPr>
                <w:sz w:val="20"/>
                <w:szCs w:val="20"/>
                <w:lang w:val="mi-NZ"/>
              </w:rPr>
              <w:t xml:space="preserve">Māori </w:t>
            </w:r>
            <w:r w:rsidRPr="00D114F4">
              <w:rPr>
                <w:sz w:val="20"/>
                <w:szCs w:val="20"/>
                <w:lang w:val="en-US"/>
              </w:rPr>
              <w:t>provisions</w:t>
            </w:r>
          </w:p>
          <w:p w14:paraId="5E606905" w14:textId="6D3DA51A" w:rsidR="007C7830" w:rsidRPr="00BE1265" w:rsidRDefault="00D114F4" w:rsidP="00BE1265">
            <w:pPr>
              <w:pStyle w:val="Numbered"/>
              <w:numPr>
                <w:ilvl w:val="0"/>
                <w:numId w:val="23"/>
              </w:numPr>
              <w:spacing w:before="0" w:after="120"/>
              <w:rPr>
                <w:sz w:val="20"/>
                <w:szCs w:val="20"/>
              </w:rPr>
            </w:pPr>
            <w:r w:rsidRPr="00D114F4">
              <w:rPr>
                <w:sz w:val="20"/>
                <w:szCs w:val="20"/>
              </w:rPr>
              <w:t>providing a dispute resolution mechanism.</w:t>
            </w:r>
          </w:p>
        </w:tc>
      </w:tr>
    </w:tbl>
    <w:p w14:paraId="717FE1DC" w14:textId="77777777" w:rsidR="00844C12" w:rsidRPr="00EA778C" w:rsidRDefault="00844C12" w:rsidP="00844C12">
      <w:pPr>
        <w:pStyle w:val="Numbered"/>
        <w:rPr>
          <w:b/>
          <w:bCs/>
        </w:rPr>
      </w:pPr>
      <w:bookmarkStart w:id="102" w:name="_Ref105168302"/>
      <w:bookmarkStart w:id="103" w:name="_Toc103173685"/>
      <w:bookmarkStart w:id="104" w:name="_Toc104358651"/>
      <w:r w:rsidRPr="00EA778C">
        <w:rPr>
          <w:b/>
          <w:bCs/>
        </w:rPr>
        <w:t xml:space="preserve">Option </w:t>
      </w:r>
      <w:r>
        <w:rPr>
          <w:b/>
          <w:bCs/>
        </w:rPr>
        <w:t xml:space="preserve">1 </w:t>
      </w:r>
      <w:r>
        <w:t>does not set long-term consumer benefit as the focus of the Code, but instead targets the retailer-supplier relationship. This allows for a simpler Code that seeks to constrain the designated retailer’s ability to use their strong negotiating position to their advantage over suppliers.</w:t>
      </w:r>
      <w:bookmarkEnd w:id="102"/>
      <w:r>
        <w:t xml:space="preserve">  </w:t>
      </w:r>
    </w:p>
    <w:p w14:paraId="00F9E874" w14:textId="77777777" w:rsidR="002D3A7F" w:rsidRDefault="002D3A7F" w:rsidP="002D3A7F">
      <w:pPr>
        <w:pStyle w:val="Numbered"/>
      </w:pPr>
      <w:r>
        <w:rPr>
          <w:b/>
          <w:bCs/>
        </w:rPr>
        <w:t xml:space="preserve">Option 2 </w:t>
      </w:r>
      <w:r>
        <w:t>is likely to be the broadest purpose that is appropriate for the Code. It clarifies that the Code will directly impact on the distribution of costs and benefits between suppliers and designated retailers by</w:t>
      </w:r>
      <w:r w:rsidRPr="00EA778C">
        <w:t xml:space="preserve"> </w:t>
      </w:r>
      <w:r>
        <w:t xml:space="preserve">prohibit or limit certain types of conduct by designated retailers, or require improved transparency or certainty of the terms and conditions of supply to reduce the likelihood of confusion and disputes arising. However, it constrains the Code to promote competition in the long-term benefits of consumers. </w:t>
      </w:r>
    </w:p>
    <w:p w14:paraId="490E23CE" w14:textId="3AFCFE0B" w:rsidR="002D3A7F" w:rsidRDefault="002D3A7F" w:rsidP="00597FEC">
      <w:pPr>
        <w:pStyle w:val="Numbered"/>
      </w:pPr>
      <w:r w:rsidRPr="00BE1265">
        <w:rPr>
          <w:b/>
          <w:bCs/>
        </w:rPr>
        <w:t xml:space="preserve">Option 3 </w:t>
      </w:r>
      <w:r>
        <w:t>proposes a purpose that is arguably the broadest,</w:t>
      </w:r>
      <w:r w:rsidR="00BE1265">
        <w:t xml:space="preserve"> but is also specified towards particular areas. I</w:t>
      </w:r>
      <w:r>
        <w:t xml:space="preserve">t would allow the Code to consider </w:t>
      </w:r>
      <w:r w:rsidR="00BE1265">
        <w:t xml:space="preserve">some </w:t>
      </w:r>
      <w:r>
        <w:t xml:space="preserve">economic development matters, and it aligns with other reforms underway at the moment (such as the wholesale access and monitoring of strategic conduct). </w:t>
      </w:r>
      <w:r w:rsidR="00BE1265" w:rsidRPr="00BE1265">
        <w:rPr>
          <w:b/>
          <w:bCs/>
        </w:rPr>
        <w:t xml:space="preserve">Option 3 </w:t>
      </w:r>
      <w:r w:rsidR="00BE1265">
        <w:t xml:space="preserve">also gives more alignment with potential </w:t>
      </w:r>
      <w:r w:rsidR="00BE1265" w:rsidRPr="00BE1265">
        <w:t>Māori economic development</w:t>
      </w:r>
      <w:r w:rsidR="00BE1265">
        <w:t xml:space="preserve"> ambitions and may be best able to consider </w:t>
      </w:r>
      <w:r w:rsidR="00BE1265" w:rsidRPr="00BE1265">
        <w:t>tikanga Māori provision</w:t>
      </w:r>
      <w:r w:rsidR="00BE1265">
        <w:t>s.</w:t>
      </w:r>
    </w:p>
    <w:p w14:paraId="153F2F32" w14:textId="0A189123" w:rsidR="00192727" w:rsidRPr="009510B4" w:rsidRDefault="00B530DC" w:rsidP="00871288">
      <w:pPr>
        <w:pStyle w:val="Heading2"/>
        <w:tabs>
          <w:tab w:val="left" w:pos="567"/>
        </w:tabs>
      </w:pPr>
      <w:bookmarkStart w:id="105" w:name="_Toc107919632"/>
      <w:r>
        <w:lastRenderedPageBreak/>
        <w:t>4</w:t>
      </w:r>
      <w:r w:rsidR="00D97DAB">
        <w:t>.</w:t>
      </w:r>
      <w:r w:rsidR="004B3BF1">
        <w:t>3</w:t>
      </w:r>
      <w:r w:rsidR="00871288">
        <w:tab/>
      </w:r>
      <w:r w:rsidR="00B2333A" w:rsidRPr="009510B4">
        <w:t>O</w:t>
      </w:r>
      <w:r w:rsidR="00192727" w:rsidRPr="009510B4">
        <w:t>verarching obligations</w:t>
      </w:r>
      <w:bookmarkEnd w:id="103"/>
      <w:bookmarkEnd w:id="104"/>
      <w:bookmarkEnd w:id="105"/>
    </w:p>
    <w:p w14:paraId="728218DF" w14:textId="1804C544" w:rsidR="00B956A9" w:rsidRPr="009510B4" w:rsidRDefault="00B956A9" w:rsidP="00B956A9">
      <w:pPr>
        <w:pStyle w:val="Numbered"/>
      </w:pPr>
      <w:r w:rsidRPr="009510B4">
        <w:t>An overarching obligation</w:t>
      </w:r>
      <w:r w:rsidR="008F4DB3">
        <w:t xml:space="preserve"> </w:t>
      </w:r>
      <w:r w:rsidRPr="009510B4">
        <w:t xml:space="preserve">translates the intent of the Code into an expectation on </w:t>
      </w:r>
      <w:r w:rsidR="00B61D1F">
        <w:t xml:space="preserve">the </w:t>
      </w:r>
      <w:r w:rsidRPr="009510B4">
        <w:t xml:space="preserve">conduct of </w:t>
      </w:r>
      <w:r w:rsidR="00BE1265">
        <w:t>designated retailers</w:t>
      </w:r>
      <w:r w:rsidR="004F473B">
        <w:t xml:space="preserve">. </w:t>
      </w:r>
    </w:p>
    <w:p w14:paraId="040126F7" w14:textId="249FAA61" w:rsidR="00B956A9" w:rsidRDefault="00B956A9" w:rsidP="00B956A9">
      <w:pPr>
        <w:pStyle w:val="Numbered"/>
      </w:pPr>
      <w:r w:rsidRPr="009510B4">
        <w:t xml:space="preserve">The Commission recommended an overarching principles-based obligation </w:t>
      </w:r>
      <w:r w:rsidR="004F473B">
        <w:t>of</w:t>
      </w:r>
      <w:r>
        <w:t xml:space="preserve"> </w:t>
      </w:r>
      <w:r w:rsidRPr="009510B4">
        <w:t>good faith, similar to the Australian Code. It recognised that the UK Code has a principle of fair dealing, and that the two concepts have some overlap.</w:t>
      </w:r>
      <w:r w:rsidR="004F473B">
        <w:rPr>
          <w:rStyle w:val="FootnoteReference"/>
        </w:rPr>
        <w:footnoteReference w:id="15"/>
      </w:r>
      <w:r w:rsidR="007B7756">
        <w:t xml:space="preserve"> </w:t>
      </w:r>
      <w:r w:rsidR="00940861">
        <w:t>W</w:t>
      </w:r>
      <w:r w:rsidR="007B7756">
        <w:t xml:space="preserve">e consider </w:t>
      </w:r>
      <w:r w:rsidR="00A034B0">
        <w:t>below</w:t>
      </w:r>
      <w:r w:rsidR="007B7756">
        <w:t xml:space="preserve"> how overarching obligations </w:t>
      </w:r>
      <w:r w:rsidR="006124ED">
        <w:t xml:space="preserve">– of good faith, fair dealing, and in relation to the Treaty of Waitangi – could </w:t>
      </w:r>
      <w:r w:rsidR="007B7756">
        <w:t xml:space="preserve">be included in </w:t>
      </w:r>
      <w:r w:rsidR="00940861">
        <w:t>the</w:t>
      </w:r>
      <w:r w:rsidR="007B7756">
        <w:t xml:space="preserve"> Code. </w:t>
      </w:r>
    </w:p>
    <w:p w14:paraId="7E1C1DAB" w14:textId="5C90F641" w:rsidR="00613281" w:rsidRPr="00965951" w:rsidRDefault="009510B4" w:rsidP="00965951">
      <w:pPr>
        <w:rPr>
          <w:b/>
          <w:bCs/>
        </w:rPr>
      </w:pPr>
      <w:r w:rsidRPr="00965951">
        <w:rPr>
          <w:b/>
          <w:bCs/>
        </w:rPr>
        <w:t>G</w:t>
      </w:r>
      <w:r w:rsidR="00106485" w:rsidRPr="00965951">
        <w:rPr>
          <w:b/>
          <w:bCs/>
        </w:rPr>
        <w:t xml:space="preserve">ood faith </w:t>
      </w:r>
      <w:r w:rsidR="00192727" w:rsidRPr="00965951">
        <w:rPr>
          <w:b/>
          <w:bCs/>
        </w:rPr>
        <w:t xml:space="preserve">and/or fair dealing </w:t>
      </w:r>
      <w:r w:rsidR="00106485" w:rsidRPr="00965951">
        <w:rPr>
          <w:b/>
          <w:bCs/>
        </w:rPr>
        <w:t xml:space="preserve">obligation </w:t>
      </w:r>
    </w:p>
    <w:p w14:paraId="1D55EB43" w14:textId="711889B1" w:rsidR="0026069A" w:rsidRPr="00D75B74" w:rsidRDefault="00B956A9" w:rsidP="007D4F17">
      <w:pPr>
        <w:pStyle w:val="Numbered"/>
      </w:pPr>
      <w:r>
        <w:t>A</w:t>
      </w:r>
      <w:r w:rsidR="007E3675" w:rsidRPr="00B956A9">
        <w:t>n overarching principle</w:t>
      </w:r>
      <w:r>
        <w:t xml:space="preserve"> of either good faith or fair dealing</w:t>
      </w:r>
      <w:r w:rsidR="007E3675" w:rsidRPr="00B956A9">
        <w:t xml:space="preserve"> </w:t>
      </w:r>
      <w:r w:rsidR="00B61D1F">
        <w:t xml:space="preserve">has </w:t>
      </w:r>
      <w:r w:rsidR="00B61D1F" w:rsidRPr="00B956A9">
        <w:t xml:space="preserve">the potential to improve the conduct in the grocery </w:t>
      </w:r>
      <w:r w:rsidR="00B61D1F">
        <w:t xml:space="preserve">acquisition market </w:t>
      </w:r>
      <w:r w:rsidR="00B61D1F" w:rsidRPr="00B956A9">
        <w:t xml:space="preserve">and </w:t>
      </w:r>
      <w:r w:rsidR="00B61D1F">
        <w:t xml:space="preserve">improve </w:t>
      </w:r>
      <w:r w:rsidR="00B61D1F" w:rsidRPr="00B956A9">
        <w:t xml:space="preserve">adherence to the </w:t>
      </w:r>
      <w:r w:rsidR="00B61D1F">
        <w:t>purpose</w:t>
      </w:r>
      <w:r w:rsidR="00B61D1F" w:rsidRPr="00B956A9">
        <w:t xml:space="preserve"> of the Code</w:t>
      </w:r>
      <w:r w:rsidR="00B61D1F">
        <w:t xml:space="preserve">. </w:t>
      </w:r>
    </w:p>
    <w:p w14:paraId="2EEFC2FA" w14:textId="098A1434" w:rsidR="00C364AB" w:rsidRDefault="00B956A9" w:rsidP="00CB38A1">
      <w:pPr>
        <w:pStyle w:val="Numbered"/>
      </w:pPr>
      <w:r w:rsidRPr="00B956A9">
        <w:t>G</w:t>
      </w:r>
      <w:r w:rsidR="00911D54" w:rsidRPr="00B956A9">
        <w:t>ood faith and fair dealings</w:t>
      </w:r>
      <w:r w:rsidR="00060A55" w:rsidRPr="00B956A9">
        <w:t xml:space="preserve"> </w:t>
      </w:r>
      <w:r w:rsidR="00AC5A41">
        <w:t>can refer</w:t>
      </w:r>
      <w:r w:rsidR="00032C01">
        <w:t xml:space="preserve"> to different type</w:t>
      </w:r>
      <w:r w:rsidR="00AC5A41">
        <w:t>s</w:t>
      </w:r>
      <w:r w:rsidR="00032C01">
        <w:t xml:space="preserve"> of ‘fairness’</w:t>
      </w:r>
      <w:r w:rsidR="008F4DB3">
        <w:t xml:space="preserve">, </w:t>
      </w:r>
      <w:r w:rsidR="005069AD">
        <w:t xml:space="preserve">but </w:t>
      </w:r>
      <w:r w:rsidR="00DB35CF">
        <w:t xml:space="preserve">generally have a high degree of </w:t>
      </w:r>
      <w:r w:rsidR="008F4DB3">
        <w:t>overlap</w:t>
      </w:r>
      <w:r w:rsidR="00032C01">
        <w:t xml:space="preserve">. </w:t>
      </w:r>
      <w:r w:rsidR="00DB35CF">
        <w:t>T</w:t>
      </w:r>
      <w:r w:rsidR="00060A55" w:rsidRPr="00B956A9">
        <w:t xml:space="preserve">he </w:t>
      </w:r>
      <w:r w:rsidR="00DB35CF">
        <w:t xml:space="preserve">2018 </w:t>
      </w:r>
      <w:r w:rsidR="00060A55" w:rsidRPr="00B956A9">
        <w:t xml:space="preserve">review of the Australian Code </w:t>
      </w:r>
      <w:r w:rsidR="00DB35CF">
        <w:t xml:space="preserve">suggested that </w:t>
      </w:r>
      <w:r w:rsidR="00911D54" w:rsidRPr="00B956A9">
        <w:t xml:space="preserve">good faith </w:t>
      </w:r>
      <w:bookmarkStart w:id="106" w:name="_Hlk100313743"/>
      <w:r w:rsidR="00DC12C0" w:rsidRPr="00B956A9">
        <w:t>has connotations of</w:t>
      </w:r>
      <w:r w:rsidR="00911D54" w:rsidRPr="00B956A9">
        <w:t xml:space="preserve"> </w:t>
      </w:r>
      <w:bookmarkEnd w:id="106"/>
      <w:r w:rsidR="00911D54" w:rsidRPr="00B956A9">
        <w:t>‘fairness of process’</w:t>
      </w:r>
      <w:r w:rsidR="00AC5A41">
        <w:t xml:space="preserve"> (ie the behaviour of parties in a transaction)</w:t>
      </w:r>
      <w:r w:rsidR="00911D54" w:rsidRPr="00B956A9">
        <w:t xml:space="preserve">, while fair dealings </w:t>
      </w:r>
      <w:r w:rsidR="00002BBC">
        <w:t xml:space="preserve">may have more scope for </w:t>
      </w:r>
      <w:r w:rsidR="00911D54" w:rsidRPr="00B956A9">
        <w:t>‘fairness in outcomes’</w:t>
      </w:r>
      <w:r w:rsidR="005663A0">
        <w:t xml:space="preserve"> </w:t>
      </w:r>
      <w:r w:rsidR="00AC5A41">
        <w:t>(including consideration of the result of the transaction)</w:t>
      </w:r>
      <w:r w:rsidR="00911D54" w:rsidRPr="00B956A9">
        <w:t>.</w:t>
      </w:r>
      <w:r w:rsidR="00911D54" w:rsidRPr="00B956A9">
        <w:rPr>
          <w:vertAlign w:val="superscript"/>
        </w:rPr>
        <w:footnoteReference w:id="16"/>
      </w:r>
      <w:r w:rsidR="009C2732" w:rsidRPr="00B956A9">
        <w:t xml:space="preserve"> </w:t>
      </w:r>
      <w:r w:rsidR="00AD6BF4">
        <w:t>However, t</w:t>
      </w:r>
      <w:r w:rsidR="00DB35CF">
        <w:t xml:space="preserve">his </w:t>
      </w:r>
      <w:r w:rsidR="00002BBC">
        <w:t>is not a firm distinction</w:t>
      </w:r>
      <w:r w:rsidR="00AD6BF4">
        <w:t>.</w:t>
      </w:r>
      <w:r w:rsidR="00002BBC">
        <w:t xml:space="preserve"> </w:t>
      </w:r>
      <w:r w:rsidR="00AD6BF4">
        <w:t>T</w:t>
      </w:r>
      <w:r w:rsidR="001621E9">
        <w:t>here</w:t>
      </w:r>
      <w:r w:rsidR="00C364AB" w:rsidRPr="00B956A9">
        <w:t xml:space="preserve"> </w:t>
      </w:r>
      <w:r>
        <w:t xml:space="preserve">may be </w:t>
      </w:r>
      <w:r w:rsidR="00C364AB" w:rsidRPr="00B956A9">
        <w:t>a place for</w:t>
      </w:r>
      <w:r w:rsidR="00032C01">
        <w:t xml:space="preserve"> either, or</w:t>
      </w:r>
      <w:r w:rsidR="00C364AB" w:rsidRPr="00B956A9">
        <w:t xml:space="preserve"> both</w:t>
      </w:r>
      <w:r w:rsidR="00032C01">
        <w:t>,</w:t>
      </w:r>
      <w:r w:rsidR="00C364AB" w:rsidRPr="00B956A9">
        <w:t xml:space="preserve"> </w:t>
      </w:r>
      <w:r>
        <w:t xml:space="preserve">forms of ‘fairness’ </w:t>
      </w:r>
      <w:r w:rsidR="00032C01">
        <w:t>in a Code</w:t>
      </w:r>
      <w:r w:rsidR="00002BBC">
        <w:t xml:space="preserve"> – </w:t>
      </w:r>
      <w:r w:rsidR="00BE1265">
        <w:t xml:space="preserve">provided they are </w:t>
      </w:r>
      <w:r w:rsidR="00002BBC">
        <w:t>focused around process and conduct</w:t>
      </w:r>
      <w:r w:rsidR="00BE1265">
        <w:t xml:space="preserve">, rather than </w:t>
      </w:r>
      <w:r w:rsidR="00002BBC">
        <w:t>substantive</w:t>
      </w:r>
      <w:r w:rsidR="00BE1265">
        <w:t xml:space="preserve"> matters</w:t>
      </w:r>
      <w:r w:rsidR="00032C01">
        <w:t>.</w:t>
      </w:r>
    </w:p>
    <w:p w14:paraId="064B89A7" w14:textId="2AB3AF10" w:rsidR="00785587" w:rsidRDefault="002D3A7F" w:rsidP="00CD25B9">
      <w:pPr>
        <w:pStyle w:val="Numbered"/>
      </w:pPr>
      <w:r>
        <w:t>G</w:t>
      </w:r>
      <w:r w:rsidR="00AC5A41">
        <w:t>ood faith</w:t>
      </w:r>
      <w:r>
        <w:t xml:space="preserve"> </w:t>
      </w:r>
      <w:r w:rsidR="00785587">
        <w:t xml:space="preserve">is best known in relation to employment matters </w:t>
      </w:r>
      <w:r w:rsidR="00131BC2">
        <w:t xml:space="preserve">where it has </w:t>
      </w:r>
      <w:r w:rsidR="00785587">
        <w:t>and has four elements:</w:t>
      </w:r>
    </w:p>
    <w:p w14:paraId="7259D3D0" w14:textId="7C33D6D3" w:rsidR="00785587" w:rsidRDefault="00785587" w:rsidP="00785587">
      <w:pPr>
        <w:pStyle w:val="Numbered"/>
        <w:numPr>
          <w:ilvl w:val="1"/>
          <w:numId w:val="1"/>
        </w:numPr>
      </w:pPr>
      <w:r>
        <w:t>must not act in a misleading or deceptive way</w:t>
      </w:r>
    </w:p>
    <w:p w14:paraId="7B1FC799" w14:textId="6BC55C2E" w:rsidR="00785587" w:rsidRDefault="00785587" w:rsidP="00785587">
      <w:pPr>
        <w:pStyle w:val="Numbered"/>
        <w:numPr>
          <w:ilvl w:val="1"/>
          <w:numId w:val="1"/>
        </w:numPr>
      </w:pPr>
      <w:r>
        <w:t>must be responsive and communicative</w:t>
      </w:r>
    </w:p>
    <w:p w14:paraId="0D392E4C" w14:textId="7976A1B3" w:rsidR="00785587" w:rsidRDefault="00785587" w:rsidP="00785587">
      <w:pPr>
        <w:pStyle w:val="Numbered"/>
        <w:numPr>
          <w:ilvl w:val="1"/>
          <w:numId w:val="1"/>
        </w:numPr>
      </w:pPr>
      <w:r>
        <w:t>must give the affected parties sufficient information when they need it and a proper opportunity to comment</w:t>
      </w:r>
    </w:p>
    <w:p w14:paraId="57263FF8" w14:textId="48852A1F" w:rsidR="00785587" w:rsidRDefault="00785587" w:rsidP="00785587">
      <w:pPr>
        <w:pStyle w:val="Numbered"/>
        <w:numPr>
          <w:ilvl w:val="1"/>
          <w:numId w:val="1"/>
        </w:numPr>
      </w:pPr>
      <w:r>
        <w:t>most broadly, must treat others fairly using common sense.</w:t>
      </w:r>
      <w:r>
        <w:rPr>
          <w:rStyle w:val="FootnoteReference"/>
        </w:rPr>
        <w:footnoteReference w:id="17"/>
      </w:r>
    </w:p>
    <w:p w14:paraId="24DCD1E1" w14:textId="2491AEBF" w:rsidR="00131BC2" w:rsidRDefault="0026069A" w:rsidP="0064304E">
      <w:pPr>
        <w:pStyle w:val="Numbered"/>
      </w:pPr>
      <w:r>
        <w:t>F</w:t>
      </w:r>
      <w:r w:rsidRPr="00D75B74">
        <w:t xml:space="preserve">rom an operational perspective, a good faith principle </w:t>
      </w:r>
      <w:r w:rsidR="00AC5A41">
        <w:t xml:space="preserve">should be </w:t>
      </w:r>
      <w:r w:rsidRPr="00D75B74">
        <w:t xml:space="preserve">understood and </w:t>
      </w:r>
      <w:r w:rsidR="00AC5A41">
        <w:t xml:space="preserve">easily </w:t>
      </w:r>
      <w:r w:rsidRPr="00D75B74">
        <w:t>implemented.</w:t>
      </w:r>
      <w:r w:rsidR="00785587">
        <w:t xml:space="preserve"> It is used in the Australian Code as an overarching obligation (</w:t>
      </w:r>
      <w:r w:rsidR="005663A0">
        <w:t>s</w:t>
      </w:r>
      <w:r w:rsidR="00785587">
        <w:t>ection 6A)</w:t>
      </w:r>
      <w:r w:rsidR="00131BC2">
        <w:t>, which is relatively detailed</w:t>
      </w:r>
      <w:r w:rsidR="00BE1265">
        <w:t>, and indicates</w:t>
      </w:r>
      <w:r w:rsidR="00131BC2">
        <w:t xml:space="preserve"> a range of specific conduct that is not</w:t>
      </w:r>
      <w:r w:rsidR="00BE1265">
        <w:t xml:space="preserve"> in</w:t>
      </w:r>
      <w:r w:rsidR="00131BC2">
        <w:t xml:space="preserve"> good faith</w:t>
      </w:r>
      <w:r w:rsidR="00785587">
        <w:t xml:space="preserve">. </w:t>
      </w:r>
      <w:r w:rsidRPr="00D75B74">
        <w:t xml:space="preserve"> </w:t>
      </w:r>
    </w:p>
    <w:p w14:paraId="55E41329" w14:textId="4FB7917A" w:rsidR="00EA6E96" w:rsidRDefault="00131BC2" w:rsidP="001D5E98">
      <w:pPr>
        <w:pStyle w:val="Numbered"/>
      </w:pPr>
      <w:bookmarkStart w:id="107" w:name="_Ref105151950"/>
      <w:r>
        <w:t>F</w:t>
      </w:r>
      <w:r w:rsidR="00CD25B9">
        <w:t xml:space="preserve">air dealing has </w:t>
      </w:r>
      <w:r w:rsidR="00EA6E96">
        <w:t xml:space="preserve">two </w:t>
      </w:r>
      <w:r w:rsidR="00B8685D">
        <w:t xml:space="preserve">key elements </w:t>
      </w:r>
      <w:r w:rsidR="00EA6E96">
        <w:t xml:space="preserve">that arise from </w:t>
      </w:r>
      <w:r w:rsidR="00B8685D">
        <w:t xml:space="preserve">different forms of </w:t>
      </w:r>
      <w:r w:rsidR="00EA6E96">
        <w:t>‘fairness’:</w:t>
      </w:r>
      <w:bookmarkEnd w:id="107"/>
    </w:p>
    <w:p w14:paraId="72A47CFC" w14:textId="03E994C8" w:rsidR="00EA6E96" w:rsidRDefault="00B07679" w:rsidP="00EA6E96">
      <w:pPr>
        <w:pStyle w:val="Numbered"/>
        <w:numPr>
          <w:ilvl w:val="1"/>
          <w:numId w:val="1"/>
        </w:numPr>
      </w:pPr>
      <w:r>
        <w:lastRenderedPageBreak/>
        <w:t>f</w:t>
      </w:r>
      <w:r w:rsidR="00EA6E96">
        <w:t xml:space="preserve">airness between the designated retailer and supplier, </w:t>
      </w:r>
      <w:r w:rsidR="00B8685D">
        <w:t>recognising the supplier’s need for certainty in relation to the risks and costs of trading</w:t>
      </w:r>
    </w:p>
    <w:p w14:paraId="46EB3B6A" w14:textId="631C1434" w:rsidR="00B8685D" w:rsidRDefault="00B07679" w:rsidP="00EA6E96">
      <w:pPr>
        <w:pStyle w:val="Numbered"/>
        <w:numPr>
          <w:ilvl w:val="1"/>
          <w:numId w:val="1"/>
        </w:numPr>
      </w:pPr>
      <w:bookmarkStart w:id="108" w:name="_Ref107254045"/>
      <w:r>
        <w:t>f</w:t>
      </w:r>
      <w:r w:rsidR="00B8685D">
        <w:t>air treatment of different suppliers</w:t>
      </w:r>
      <w:r w:rsidR="00BE1265">
        <w:t xml:space="preserve"> by the designated retailer</w:t>
      </w:r>
      <w:r w:rsidR="00B8685D">
        <w:t>, where the designated retailer must avoid discrimination or distinction between different suppliers.</w:t>
      </w:r>
      <w:bookmarkEnd w:id="108"/>
      <w:r w:rsidR="00B8685D">
        <w:t xml:space="preserve"> </w:t>
      </w:r>
    </w:p>
    <w:p w14:paraId="2413B8CF" w14:textId="1D18F9C8" w:rsidR="00CD25B9" w:rsidRDefault="00B8685D" w:rsidP="002A1816">
      <w:pPr>
        <w:pStyle w:val="Numbered"/>
      </w:pPr>
      <w:r>
        <w:t xml:space="preserve">The first element </w:t>
      </w:r>
      <w:r w:rsidR="00BE1265">
        <w:t xml:space="preserve">of fair dealing may </w:t>
      </w:r>
      <w:r>
        <w:t xml:space="preserve">require the designated retailer to consider the </w:t>
      </w:r>
      <w:r w:rsidR="00CD25B9">
        <w:t xml:space="preserve">end result of any commercial dealing on the </w:t>
      </w:r>
      <w:r w:rsidR="00BE1265">
        <w:t>supplier, including</w:t>
      </w:r>
      <w:r w:rsidR="00CD25B9" w:rsidRPr="00CD25B9">
        <w:t xml:space="preserve"> </w:t>
      </w:r>
      <w:r w:rsidR="00CD25B9">
        <w:t xml:space="preserve">and the </w:t>
      </w:r>
      <w:r w:rsidR="00652ABC">
        <w:t xml:space="preserve">overall </w:t>
      </w:r>
      <w:r w:rsidR="00CD25B9">
        <w:t xml:space="preserve">impact, rather than just considering </w:t>
      </w:r>
      <w:r w:rsidR="00652ABC">
        <w:t xml:space="preserve">its </w:t>
      </w:r>
      <w:r w:rsidR="00CD25B9">
        <w:t xml:space="preserve">behaviour during the commercial interaction. </w:t>
      </w:r>
    </w:p>
    <w:p w14:paraId="28B751AD" w14:textId="54E7D8CB" w:rsidR="00CD25B9" w:rsidRDefault="001D5E98" w:rsidP="001D5E98">
      <w:pPr>
        <w:pStyle w:val="Numbered"/>
      </w:pPr>
      <w:r>
        <w:t>F</w:t>
      </w:r>
      <w:r w:rsidRPr="001621E9">
        <w:t>air dealing is</w:t>
      </w:r>
      <w:r>
        <w:t xml:space="preserve"> </w:t>
      </w:r>
      <w:r w:rsidR="00680A74">
        <w:t>a</w:t>
      </w:r>
      <w:r w:rsidRPr="001621E9">
        <w:t xml:space="preserve"> less common</w:t>
      </w:r>
      <w:r>
        <w:t>ly used term</w:t>
      </w:r>
      <w:r w:rsidR="00EA6E96">
        <w:t xml:space="preserve"> and</w:t>
      </w:r>
      <w:r w:rsidR="00CD25B9">
        <w:t xml:space="preserve"> may be harder to implement. </w:t>
      </w:r>
      <w:r w:rsidR="00B8685D">
        <w:t xml:space="preserve">Its use in copyright law is not highly transferable to the Code. </w:t>
      </w:r>
    </w:p>
    <w:p w14:paraId="7183A692" w14:textId="63769D7D" w:rsidR="001D5E98" w:rsidRDefault="00264E03" w:rsidP="001D5E98">
      <w:pPr>
        <w:pStyle w:val="Numbered"/>
      </w:pPr>
      <w:r>
        <w:t>The Australian Code includes a fair dealing concept (</w:t>
      </w:r>
      <w:r w:rsidR="005663A0">
        <w:t>s</w:t>
      </w:r>
      <w:r>
        <w:t>ection 35(9)) in disputes</w:t>
      </w:r>
      <w:r w:rsidR="00D96D35">
        <w:t xml:space="preserve">. </w:t>
      </w:r>
      <w:r w:rsidR="00095AE8">
        <w:t xml:space="preserve">The scope of this encompasses </w:t>
      </w:r>
      <w:r>
        <w:t xml:space="preserve">the characteristics of the supplier that </w:t>
      </w:r>
      <w:r w:rsidR="00D96D35">
        <w:t xml:space="preserve">were, </w:t>
      </w:r>
      <w:r>
        <w:t>or should have been</w:t>
      </w:r>
      <w:r w:rsidR="00D96D35">
        <w:t>,</w:t>
      </w:r>
      <w:r>
        <w:t xml:space="preserve"> known. </w:t>
      </w:r>
    </w:p>
    <w:p w14:paraId="3878A336" w14:textId="32A43179" w:rsidR="00264E03" w:rsidRDefault="00264E03" w:rsidP="001D5E98">
      <w:pPr>
        <w:pStyle w:val="Numbered"/>
      </w:pPr>
      <w:r>
        <w:t xml:space="preserve">The UK Code </w:t>
      </w:r>
      <w:r w:rsidR="00D96D35">
        <w:t xml:space="preserve">relies primarily on </w:t>
      </w:r>
      <w:r>
        <w:t>fair dealing</w:t>
      </w:r>
      <w:r w:rsidR="00095AE8">
        <w:t>, and</w:t>
      </w:r>
      <w:r w:rsidR="00095AE8" w:rsidRPr="00095AE8">
        <w:t xml:space="preserve"> </w:t>
      </w:r>
      <w:r w:rsidR="00095AE8">
        <w:t xml:space="preserve">includes the two elements of fair dealing identified above (paragraph </w:t>
      </w:r>
      <w:r w:rsidR="00095AE8">
        <w:fldChar w:fldCharType="begin"/>
      </w:r>
      <w:r w:rsidR="00095AE8">
        <w:instrText xml:space="preserve"> REF _Ref105151950 \r \h </w:instrText>
      </w:r>
      <w:r w:rsidR="00095AE8">
        <w:fldChar w:fldCharType="separate"/>
      </w:r>
      <w:r w:rsidR="008D0C1F">
        <w:t>69</w:t>
      </w:r>
      <w:r w:rsidR="00095AE8">
        <w:fldChar w:fldCharType="end"/>
      </w:r>
      <w:r w:rsidR="00095AE8">
        <w:t xml:space="preserve">). However fair dealing is defined in the UK Code to explicitly encompass </w:t>
      </w:r>
      <w:r w:rsidR="008D1E4A">
        <w:t>good faith</w:t>
      </w:r>
      <w:r w:rsidR="00EA6E96">
        <w:t>,</w:t>
      </w:r>
      <w:r w:rsidR="00002BBC">
        <w:t xml:space="preserve"> highlighting the overlap between the two terms. </w:t>
      </w:r>
    </w:p>
    <w:p w14:paraId="290E3319" w14:textId="78FF8D2B" w:rsidR="008D1E4A" w:rsidRDefault="008D1E4A" w:rsidP="008D1E4A">
      <w:pPr>
        <w:pStyle w:val="Numbered"/>
      </w:pPr>
      <w:r w:rsidRPr="00CB7AAD">
        <w:t xml:space="preserve">We have developed three options for </w:t>
      </w:r>
      <w:r w:rsidR="008766CC">
        <w:t>good faith or fair dealing obligations</w:t>
      </w:r>
      <w:r>
        <w:t xml:space="preserve">. </w:t>
      </w:r>
      <w:r w:rsidR="00B07679">
        <w:t xml:space="preserve">All three options manage the risk (outlined in paragraphs </w:t>
      </w:r>
      <w:r w:rsidR="00B07679">
        <w:fldChar w:fldCharType="begin"/>
      </w:r>
      <w:r w:rsidR="00B07679">
        <w:instrText xml:space="preserve"> REF _Ref105152514 \r \h </w:instrText>
      </w:r>
      <w:r w:rsidR="00B07679">
        <w:fldChar w:fldCharType="separate"/>
      </w:r>
      <w:r w:rsidR="008D0C1F">
        <w:t>8</w:t>
      </w:r>
      <w:r w:rsidR="00B07679">
        <w:fldChar w:fldCharType="end"/>
      </w:r>
      <w:r w:rsidR="00B07679">
        <w:t>-</w:t>
      </w:r>
      <w:r w:rsidR="00B07679">
        <w:fldChar w:fldCharType="begin"/>
      </w:r>
      <w:r w:rsidR="00B07679">
        <w:instrText xml:space="preserve"> REF _Ref105152517 \r \h </w:instrText>
      </w:r>
      <w:r w:rsidR="00B07679">
        <w:fldChar w:fldCharType="separate"/>
      </w:r>
      <w:r w:rsidR="008D0C1F">
        <w:t>10</w:t>
      </w:r>
      <w:r w:rsidR="00B07679">
        <w:fldChar w:fldCharType="end"/>
      </w:r>
      <w:r w:rsidR="00B07679">
        <w:t xml:space="preserve">) that the Code may result in an excessive shift of negotiating power to suppliers which could put upward pressure on prices for consumers, and generally focus on procedural matters rather than substantive matters. </w:t>
      </w:r>
    </w:p>
    <w:tbl>
      <w:tblPr>
        <w:tblStyle w:val="TableGrid"/>
        <w:tblW w:w="5000" w:type="pct"/>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3023"/>
        <w:gridCol w:w="3023"/>
        <w:gridCol w:w="3024"/>
      </w:tblGrid>
      <w:tr w:rsidR="00D3390A" w:rsidRPr="00D3390A" w14:paraId="6F909306" w14:textId="77777777" w:rsidTr="00095AE8">
        <w:tc>
          <w:tcPr>
            <w:tcW w:w="1666" w:type="pct"/>
            <w:shd w:val="clear" w:color="auto" w:fill="B3D0D5"/>
          </w:tcPr>
          <w:p w14:paraId="4B190515" w14:textId="6F7E9869" w:rsidR="00D3390A" w:rsidRPr="002A1816" w:rsidRDefault="00D3390A" w:rsidP="00D3390A">
            <w:pPr>
              <w:pStyle w:val="Numbered"/>
              <w:numPr>
                <w:ilvl w:val="0"/>
                <w:numId w:val="0"/>
              </w:numPr>
              <w:spacing w:before="0"/>
              <w:rPr>
                <w:sz w:val="20"/>
                <w:szCs w:val="20"/>
              </w:rPr>
            </w:pPr>
            <w:r w:rsidRPr="002A1816">
              <w:rPr>
                <w:b/>
                <w:bCs/>
                <w:sz w:val="20"/>
                <w:szCs w:val="20"/>
              </w:rPr>
              <w:t xml:space="preserve">Option 1 (Principle-based Code): </w:t>
            </w:r>
          </w:p>
        </w:tc>
        <w:tc>
          <w:tcPr>
            <w:tcW w:w="1666" w:type="pct"/>
            <w:shd w:val="clear" w:color="auto" w:fill="B3D0D5"/>
          </w:tcPr>
          <w:p w14:paraId="19E4E513" w14:textId="0B59A194" w:rsidR="00D3390A" w:rsidRPr="002A1816" w:rsidRDefault="00D3390A" w:rsidP="00D3390A">
            <w:pPr>
              <w:pStyle w:val="Numbered"/>
              <w:numPr>
                <w:ilvl w:val="0"/>
                <w:numId w:val="0"/>
              </w:numPr>
              <w:spacing w:before="0"/>
              <w:rPr>
                <w:sz w:val="20"/>
                <w:szCs w:val="20"/>
              </w:rPr>
            </w:pPr>
            <w:r w:rsidRPr="00D3390A">
              <w:rPr>
                <w:b/>
                <w:bCs/>
                <w:sz w:val="20"/>
                <w:szCs w:val="20"/>
              </w:rPr>
              <w:t xml:space="preserve">Option 2 (Prescriptive Code): </w:t>
            </w:r>
          </w:p>
        </w:tc>
        <w:tc>
          <w:tcPr>
            <w:tcW w:w="1667" w:type="pct"/>
            <w:shd w:val="clear" w:color="auto" w:fill="B3D0D5"/>
          </w:tcPr>
          <w:p w14:paraId="7D34D9B3" w14:textId="6B0177DF" w:rsidR="00D3390A" w:rsidRPr="002A1816" w:rsidRDefault="00D3390A" w:rsidP="00D3390A">
            <w:pPr>
              <w:pStyle w:val="Numbered"/>
              <w:numPr>
                <w:ilvl w:val="0"/>
                <w:numId w:val="0"/>
              </w:numPr>
              <w:spacing w:before="0"/>
              <w:rPr>
                <w:sz w:val="20"/>
                <w:szCs w:val="20"/>
              </w:rPr>
            </w:pPr>
            <w:r w:rsidRPr="002A1816">
              <w:rPr>
                <w:b/>
                <w:bCs/>
                <w:sz w:val="20"/>
                <w:szCs w:val="20"/>
              </w:rPr>
              <w:t>Option 3 (</w:t>
            </w:r>
            <w:r w:rsidRPr="00D3390A">
              <w:rPr>
                <w:b/>
                <w:bCs/>
                <w:sz w:val="20"/>
                <w:szCs w:val="20"/>
              </w:rPr>
              <w:t xml:space="preserve">Alternative </w:t>
            </w:r>
            <w:r w:rsidRPr="002A1816">
              <w:rPr>
                <w:b/>
                <w:bCs/>
                <w:sz w:val="20"/>
                <w:szCs w:val="20"/>
              </w:rPr>
              <w:t xml:space="preserve">Code): </w:t>
            </w:r>
          </w:p>
        </w:tc>
      </w:tr>
      <w:tr w:rsidR="002A1816" w:rsidRPr="00D3390A" w14:paraId="538D8BC0" w14:textId="77777777" w:rsidTr="00095AE8">
        <w:tc>
          <w:tcPr>
            <w:tcW w:w="1666" w:type="pct"/>
            <w:shd w:val="clear" w:color="auto" w:fill="B3D0D5"/>
          </w:tcPr>
          <w:p w14:paraId="10F94279" w14:textId="77777777" w:rsidR="00095AE8" w:rsidRDefault="002A1816" w:rsidP="004B5F4B">
            <w:pPr>
              <w:pStyle w:val="Numbered"/>
              <w:numPr>
                <w:ilvl w:val="0"/>
                <w:numId w:val="0"/>
              </w:numPr>
              <w:spacing w:before="0" w:after="120"/>
              <w:rPr>
                <w:sz w:val="20"/>
                <w:szCs w:val="20"/>
              </w:rPr>
            </w:pPr>
            <w:r>
              <w:rPr>
                <w:sz w:val="20"/>
                <w:szCs w:val="20"/>
              </w:rPr>
              <w:t xml:space="preserve">A </w:t>
            </w:r>
            <w:r w:rsidRPr="00AC02D1">
              <w:rPr>
                <w:b/>
                <w:bCs/>
                <w:sz w:val="20"/>
                <w:szCs w:val="20"/>
              </w:rPr>
              <w:t>good faith</w:t>
            </w:r>
            <w:r>
              <w:rPr>
                <w:sz w:val="20"/>
                <w:szCs w:val="20"/>
              </w:rPr>
              <w:t xml:space="preserve"> obligation. Designated retailers must</w:t>
            </w:r>
            <w:r w:rsidR="00095AE8">
              <w:rPr>
                <w:sz w:val="20"/>
                <w:szCs w:val="20"/>
              </w:rPr>
              <w:t>:</w:t>
            </w:r>
          </w:p>
          <w:p w14:paraId="392F5213" w14:textId="77777777" w:rsidR="00095AE8" w:rsidRPr="00095AE8" w:rsidRDefault="002A1816" w:rsidP="00095AE8">
            <w:pPr>
              <w:pStyle w:val="Numbered"/>
              <w:numPr>
                <w:ilvl w:val="0"/>
                <w:numId w:val="24"/>
              </w:numPr>
              <w:spacing w:before="0" w:after="120"/>
              <w:rPr>
                <w:b/>
                <w:bCs/>
                <w:sz w:val="20"/>
                <w:szCs w:val="20"/>
              </w:rPr>
            </w:pPr>
            <w:r>
              <w:rPr>
                <w:sz w:val="20"/>
                <w:szCs w:val="20"/>
              </w:rPr>
              <w:t xml:space="preserve">not put </w:t>
            </w:r>
            <w:r w:rsidR="00095AE8">
              <w:rPr>
                <w:sz w:val="20"/>
                <w:szCs w:val="20"/>
              </w:rPr>
              <w:t xml:space="preserve">the supplier </w:t>
            </w:r>
            <w:r>
              <w:rPr>
                <w:sz w:val="20"/>
                <w:szCs w:val="20"/>
              </w:rPr>
              <w:t>under duress</w:t>
            </w:r>
          </w:p>
          <w:p w14:paraId="3F4E3BB9" w14:textId="77777777" w:rsidR="00095AE8" w:rsidRPr="00095AE8" w:rsidRDefault="002A1816" w:rsidP="00095AE8">
            <w:pPr>
              <w:pStyle w:val="Numbered"/>
              <w:numPr>
                <w:ilvl w:val="0"/>
                <w:numId w:val="24"/>
              </w:numPr>
              <w:spacing w:before="0" w:after="120"/>
              <w:rPr>
                <w:b/>
                <w:bCs/>
                <w:sz w:val="20"/>
                <w:szCs w:val="20"/>
              </w:rPr>
            </w:pPr>
            <w:r>
              <w:rPr>
                <w:sz w:val="20"/>
                <w:szCs w:val="20"/>
              </w:rPr>
              <w:t>not retaliate</w:t>
            </w:r>
            <w:r w:rsidR="00095AE8">
              <w:rPr>
                <w:sz w:val="20"/>
                <w:szCs w:val="20"/>
              </w:rPr>
              <w:t xml:space="preserve"> against the supplier</w:t>
            </w:r>
          </w:p>
          <w:p w14:paraId="41747250" w14:textId="77777777" w:rsidR="00095AE8" w:rsidRPr="00095AE8" w:rsidRDefault="002A1816" w:rsidP="00095AE8">
            <w:pPr>
              <w:pStyle w:val="Numbered"/>
              <w:numPr>
                <w:ilvl w:val="0"/>
                <w:numId w:val="24"/>
              </w:numPr>
              <w:spacing w:before="0" w:after="120"/>
              <w:rPr>
                <w:b/>
                <w:bCs/>
                <w:sz w:val="20"/>
                <w:szCs w:val="20"/>
              </w:rPr>
            </w:pPr>
            <w:r w:rsidRPr="00095AE8">
              <w:rPr>
                <w:sz w:val="20"/>
                <w:szCs w:val="20"/>
              </w:rPr>
              <w:t>be responsive and communicative</w:t>
            </w:r>
          </w:p>
          <w:p w14:paraId="6D0691E6" w14:textId="77777777" w:rsidR="00095AE8" w:rsidRPr="00095AE8" w:rsidRDefault="002A1816" w:rsidP="00095AE8">
            <w:pPr>
              <w:pStyle w:val="Numbered"/>
              <w:numPr>
                <w:ilvl w:val="0"/>
                <w:numId w:val="24"/>
              </w:numPr>
              <w:spacing w:before="0" w:after="120"/>
              <w:rPr>
                <w:b/>
                <w:bCs/>
                <w:sz w:val="20"/>
                <w:szCs w:val="20"/>
              </w:rPr>
            </w:pPr>
            <w:r w:rsidRPr="00095AE8">
              <w:rPr>
                <w:sz w:val="20"/>
                <w:szCs w:val="20"/>
              </w:rPr>
              <w:t>provide information in time for suppliers to respond</w:t>
            </w:r>
          </w:p>
          <w:p w14:paraId="0087431C" w14:textId="71CDDD29" w:rsidR="002A1816" w:rsidRPr="00095AE8" w:rsidRDefault="002A1816" w:rsidP="00095AE8">
            <w:pPr>
              <w:pStyle w:val="Numbered"/>
              <w:numPr>
                <w:ilvl w:val="0"/>
                <w:numId w:val="24"/>
              </w:numPr>
              <w:spacing w:before="0" w:after="120"/>
              <w:rPr>
                <w:b/>
                <w:bCs/>
                <w:sz w:val="20"/>
                <w:szCs w:val="20"/>
              </w:rPr>
            </w:pPr>
            <w:r w:rsidRPr="00095AE8">
              <w:rPr>
                <w:sz w:val="20"/>
                <w:szCs w:val="20"/>
              </w:rPr>
              <w:t>generally engage in the trading relationship in good faith.</w:t>
            </w:r>
          </w:p>
          <w:p w14:paraId="6ADAD605" w14:textId="77777777" w:rsidR="002A1816" w:rsidRPr="002A1816" w:rsidRDefault="002A1816" w:rsidP="004B5F4B">
            <w:pPr>
              <w:pStyle w:val="Numbered"/>
              <w:numPr>
                <w:ilvl w:val="0"/>
                <w:numId w:val="0"/>
              </w:numPr>
              <w:spacing w:before="0" w:after="120"/>
              <w:rPr>
                <w:b/>
                <w:bCs/>
                <w:sz w:val="20"/>
                <w:szCs w:val="20"/>
              </w:rPr>
            </w:pPr>
          </w:p>
        </w:tc>
        <w:tc>
          <w:tcPr>
            <w:tcW w:w="1666" w:type="pct"/>
            <w:shd w:val="clear" w:color="auto" w:fill="B3D0D5"/>
          </w:tcPr>
          <w:p w14:paraId="5AD6CBB5" w14:textId="77777777" w:rsidR="00095AE8" w:rsidRDefault="002A1816" w:rsidP="00095AE8">
            <w:pPr>
              <w:pStyle w:val="Numbered"/>
              <w:numPr>
                <w:ilvl w:val="0"/>
                <w:numId w:val="0"/>
              </w:numPr>
              <w:spacing w:before="0" w:after="120"/>
              <w:rPr>
                <w:sz w:val="20"/>
                <w:szCs w:val="20"/>
              </w:rPr>
            </w:pPr>
            <w:r>
              <w:rPr>
                <w:sz w:val="20"/>
                <w:szCs w:val="20"/>
              </w:rPr>
              <w:t xml:space="preserve">A </w:t>
            </w:r>
            <w:r w:rsidRPr="00AC02D1">
              <w:rPr>
                <w:b/>
                <w:bCs/>
                <w:sz w:val="20"/>
                <w:szCs w:val="20"/>
              </w:rPr>
              <w:t>good faith</w:t>
            </w:r>
            <w:r>
              <w:rPr>
                <w:sz w:val="20"/>
                <w:szCs w:val="20"/>
              </w:rPr>
              <w:t xml:space="preserve"> obligation </w:t>
            </w:r>
            <w:r w:rsidR="00095AE8">
              <w:rPr>
                <w:sz w:val="20"/>
                <w:szCs w:val="20"/>
              </w:rPr>
              <w:t>Designated retailers must:</w:t>
            </w:r>
          </w:p>
          <w:p w14:paraId="7D51CC4C" w14:textId="77777777" w:rsidR="00095AE8" w:rsidRPr="00095AE8" w:rsidRDefault="00095AE8" w:rsidP="00095AE8">
            <w:pPr>
              <w:pStyle w:val="Numbered"/>
              <w:numPr>
                <w:ilvl w:val="0"/>
                <w:numId w:val="25"/>
              </w:numPr>
              <w:spacing w:before="0" w:after="120"/>
              <w:rPr>
                <w:b/>
                <w:bCs/>
                <w:sz w:val="20"/>
                <w:szCs w:val="20"/>
              </w:rPr>
            </w:pPr>
            <w:r>
              <w:rPr>
                <w:sz w:val="20"/>
                <w:szCs w:val="20"/>
              </w:rPr>
              <w:t>not put the supplier under duress</w:t>
            </w:r>
          </w:p>
          <w:p w14:paraId="46176EE1" w14:textId="77777777" w:rsidR="00095AE8" w:rsidRPr="00095AE8" w:rsidRDefault="00095AE8" w:rsidP="00095AE8">
            <w:pPr>
              <w:pStyle w:val="Numbered"/>
              <w:numPr>
                <w:ilvl w:val="0"/>
                <w:numId w:val="25"/>
              </w:numPr>
              <w:spacing w:before="0" w:after="120"/>
              <w:rPr>
                <w:b/>
                <w:bCs/>
                <w:sz w:val="20"/>
                <w:szCs w:val="20"/>
              </w:rPr>
            </w:pPr>
            <w:r>
              <w:rPr>
                <w:sz w:val="20"/>
                <w:szCs w:val="20"/>
              </w:rPr>
              <w:t>not retaliate against the supplier</w:t>
            </w:r>
          </w:p>
          <w:p w14:paraId="0C057D8A" w14:textId="77777777" w:rsidR="00095AE8" w:rsidRPr="00095AE8" w:rsidRDefault="00095AE8" w:rsidP="00095AE8">
            <w:pPr>
              <w:pStyle w:val="Numbered"/>
              <w:numPr>
                <w:ilvl w:val="0"/>
                <w:numId w:val="25"/>
              </w:numPr>
              <w:spacing w:before="0" w:after="120"/>
              <w:rPr>
                <w:b/>
                <w:bCs/>
                <w:sz w:val="20"/>
                <w:szCs w:val="20"/>
              </w:rPr>
            </w:pPr>
            <w:r w:rsidRPr="00095AE8">
              <w:rPr>
                <w:sz w:val="20"/>
                <w:szCs w:val="20"/>
              </w:rPr>
              <w:t>be responsive and communicative</w:t>
            </w:r>
          </w:p>
          <w:p w14:paraId="49ADDBC4" w14:textId="77777777" w:rsidR="00095AE8" w:rsidRPr="00095AE8" w:rsidRDefault="00095AE8" w:rsidP="00095AE8">
            <w:pPr>
              <w:pStyle w:val="Numbered"/>
              <w:numPr>
                <w:ilvl w:val="0"/>
                <w:numId w:val="25"/>
              </w:numPr>
              <w:spacing w:before="0" w:after="120"/>
              <w:rPr>
                <w:b/>
                <w:bCs/>
                <w:sz w:val="20"/>
                <w:szCs w:val="20"/>
              </w:rPr>
            </w:pPr>
            <w:r w:rsidRPr="00095AE8">
              <w:rPr>
                <w:sz w:val="20"/>
                <w:szCs w:val="20"/>
              </w:rPr>
              <w:t>provide information in time for suppliers to respond</w:t>
            </w:r>
          </w:p>
          <w:p w14:paraId="2DD4D6BB" w14:textId="77777777" w:rsidR="00095AE8" w:rsidRPr="00095AE8" w:rsidRDefault="00095AE8" w:rsidP="00095AE8">
            <w:pPr>
              <w:pStyle w:val="Numbered"/>
              <w:numPr>
                <w:ilvl w:val="0"/>
                <w:numId w:val="25"/>
              </w:numPr>
              <w:spacing w:before="0" w:after="120"/>
              <w:rPr>
                <w:b/>
                <w:bCs/>
                <w:sz w:val="20"/>
                <w:szCs w:val="20"/>
              </w:rPr>
            </w:pPr>
            <w:r w:rsidRPr="00095AE8">
              <w:rPr>
                <w:sz w:val="20"/>
                <w:szCs w:val="20"/>
              </w:rPr>
              <w:t>generally engage in the trading relationship in good faith.</w:t>
            </w:r>
          </w:p>
          <w:p w14:paraId="610EB0E1" w14:textId="77777777" w:rsidR="002A1816" w:rsidRDefault="002A1816" w:rsidP="00095AE8">
            <w:pPr>
              <w:pStyle w:val="Numbered"/>
              <w:numPr>
                <w:ilvl w:val="0"/>
                <w:numId w:val="25"/>
              </w:numPr>
              <w:spacing w:before="0" w:after="120"/>
              <w:rPr>
                <w:sz w:val="20"/>
                <w:szCs w:val="20"/>
              </w:rPr>
            </w:pPr>
            <w:r>
              <w:rPr>
                <w:sz w:val="20"/>
                <w:szCs w:val="20"/>
              </w:rPr>
              <w:t>avoid discrimination or distinction between suppliers,</w:t>
            </w:r>
          </w:p>
          <w:p w14:paraId="0BA481CE" w14:textId="77777777" w:rsidR="002A1816" w:rsidRPr="003666D9" w:rsidRDefault="002A1816" w:rsidP="00095AE8">
            <w:pPr>
              <w:pStyle w:val="Numbered"/>
              <w:numPr>
                <w:ilvl w:val="0"/>
                <w:numId w:val="25"/>
              </w:numPr>
              <w:spacing w:before="0" w:after="120"/>
              <w:rPr>
                <w:sz w:val="20"/>
                <w:szCs w:val="20"/>
              </w:rPr>
            </w:pPr>
            <w:r w:rsidRPr="003666D9">
              <w:rPr>
                <w:sz w:val="20"/>
                <w:szCs w:val="20"/>
              </w:rPr>
              <w:t>recognis</w:t>
            </w:r>
            <w:r>
              <w:rPr>
                <w:sz w:val="20"/>
                <w:szCs w:val="20"/>
              </w:rPr>
              <w:t>e</w:t>
            </w:r>
            <w:r w:rsidRPr="003666D9">
              <w:rPr>
                <w:sz w:val="20"/>
                <w:szCs w:val="20"/>
              </w:rPr>
              <w:t xml:space="preserve"> the supplier’s need for certainty around the risks and costs of trading. </w:t>
            </w:r>
          </w:p>
          <w:p w14:paraId="68517733" w14:textId="77777777" w:rsidR="002A1816" w:rsidRPr="00D3390A" w:rsidRDefault="002A1816" w:rsidP="004B5F4B">
            <w:pPr>
              <w:pStyle w:val="Numbered"/>
              <w:numPr>
                <w:ilvl w:val="0"/>
                <w:numId w:val="0"/>
              </w:numPr>
              <w:spacing w:before="0" w:after="120"/>
              <w:rPr>
                <w:b/>
                <w:bCs/>
                <w:sz w:val="20"/>
                <w:szCs w:val="20"/>
              </w:rPr>
            </w:pPr>
          </w:p>
        </w:tc>
        <w:tc>
          <w:tcPr>
            <w:tcW w:w="1667" w:type="pct"/>
            <w:shd w:val="clear" w:color="auto" w:fill="B3D0D5"/>
          </w:tcPr>
          <w:p w14:paraId="49E7CBC0" w14:textId="77777777" w:rsidR="002A1816" w:rsidRDefault="002A1816" w:rsidP="004B5F4B">
            <w:pPr>
              <w:pStyle w:val="Numbered"/>
              <w:numPr>
                <w:ilvl w:val="0"/>
                <w:numId w:val="0"/>
              </w:numPr>
              <w:spacing w:before="0" w:after="120"/>
              <w:rPr>
                <w:sz w:val="20"/>
                <w:szCs w:val="20"/>
              </w:rPr>
            </w:pPr>
            <w:r>
              <w:rPr>
                <w:sz w:val="20"/>
                <w:szCs w:val="20"/>
              </w:rPr>
              <w:t xml:space="preserve">A combination of </w:t>
            </w:r>
            <w:r w:rsidRPr="00AC02D1">
              <w:rPr>
                <w:b/>
                <w:bCs/>
                <w:sz w:val="20"/>
                <w:szCs w:val="20"/>
              </w:rPr>
              <w:t>good faith</w:t>
            </w:r>
            <w:r>
              <w:rPr>
                <w:sz w:val="20"/>
                <w:szCs w:val="20"/>
              </w:rPr>
              <w:t xml:space="preserve"> and f</w:t>
            </w:r>
            <w:r w:rsidRPr="00AC02D1">
              <w:rPr>
                <w:b/>
                <w:bCs/>
                <w:sz w:val="20"/>
                <w:szCs w:val="20"/>
              </w:rPr>
              <w:t>air dealing</w:t>
            </w:r>
            <w:r>
              <w:rPr>
                <w:sz w:val="20"/>
                <w:szCs w:val="20"/>
              </w:rPr>
              <w:t xml:space="preserve"> obligation. </w:t>
            </w:r>
          </w:p>
          <w:p w14:paraId="5C805419" w14:textId="77777777" w:rsidR="002A1816" w:rsidRDefault="002A1816" w:rsidP="004B5F4B">
            <w:pPr>
              <w:pStyle w:val="Numbered"/>
              <w:numPr>
                <w:ilvl w:val="0"/>
                <w:numId w:val="0"/>
              </w:numPr>
              <w:spacing w:before="0" w:after="120"/>
              <w:rPr>
                <w:sz w:val="20"/>
                <w:szCs w:val="20"/>
              </w:rPr>
            </w:pPr>
            <w:r>
              <w:rPr>
                <w:sz w:val="20"/>
                <w:szCs w:val="20"/>
              </w:rPr>
              <w:t xml:space="preserve">The </w:t>
            </w:r>
            <w:r w:rsidRPr="00AC02D1">
              <w:rPr>
                <w:b/>
                <w:bCs/>
                <w:sz w:val="20"/>
                <w:szCs w:val="20"/>
              </w:rPr>
              <w:t>good faith will focus on</w:t>
            </w:r>
            <w:r>
              <w:rPr>
                <w:b/>
                <w:bCs/>
                <w:sz w:val="20"/>
                <w:szCs w:val="20"/>
              </w:rPr>
              <w:t xml:space="preserve"> how the retailer must</w:t>
            </w:r>
            <w:r>
              <w:rPr>
                <w:sz w:val="20"/>
                <w:szCs w:val="20"/>
              </w:rPr>
              <w:t>:</w:t>
            </w:r>
          </w:p>
          <w:p w14:paraId="42272AA2" w14:textId="77777777" w:rsidR="002A1816" w:rsidRDefault="002A1816" w:rsidP="003F2198">
            <w:pPr>
              <w:pStyle w:val="Numbered"/>
              <w:numPr>
                <w:ilvl w:val="0"/>
                <w:numId w:val="21"/>
              </w:numPr>
              <w:spacing w:before="0" w:after="120"/>
              <w:rPr>
                <w:sz w:val="20"/>
                <w:szCs w:val="20"/>
              </w:rPr>
            </w:pPr>
            <w:r>
              <w:rPr>
                <w:sz w:val="20"/>
                <w:szCs w:val="20"/>
              </w:rPr>
              <w:t xml:space="preserve">not put the supplier under duress </w:t>
            </w:r>
          </w:p>
          <w:p w14:paraId="739B63BD" w14:textId="77777777" w:rsidR="002A1816" w:rsidRDefault="002A1816" w:rsidP="003F2198">
            <w:pPr>
              <w:pStyle w:val="Numbered"/>
              <w:numPr>
                <w:ilvl w:val="0"/>
                <w:numId w:val="21"/>
              </w:numPr>
              <w:spacing w:before="0" w:after="120"/>
              <w:rPr>
                <w:sz w:val="20"/>
                <w:szCs w:val="20"/>
              </w:rPr>
            </w:pPr>
            <w:r>
              <w:rPr>
                <w:sz w:val="20"/>
                <w:szCs w:val="20"/>
              </w:rPr>
              <w:t>not retaliate against the supplier</w:t>
            </w:r>
          </w:p>
          <w:p w14:paraId="2B4E302A" w14:textId="77777777" w:rsidR="002A1816" w:rsidRDefault="002A1816" w:rsidP="003F2198">
            <w:pPr>
              <w:pStyle w:val="Numbered"/>
              <w:numPr>
                <w:ilvl w:val="0"/>
                <w:numId w:val="21"/>
              </w:numPr>
              <w:spacing w:before="0" w:after="120"/>
              <w:rPr>
                <w:sz w:val="20"/>
                <w:szCs w:val="20"/>
              </w:rPr>
            </w:pPr>
            <w:r>
              <w:rPr>
                <w:sz w:val="20"/>
                <w:szCs w:val="20"/>
              </w:rPr>
              <w:t>be responsive and communicative</w:t>
            </w:r>
          </w:p>
          <w:p w14:paraId="719A8150" w14:textId="77777777" w:rsidR="002A1816" w:rsidRDefault="002A1816" w:rsidP="003F2198">
            <w:pPr>
              <w:pStyle w:val="Numbered"/>
              <w:numPr>
                <w:ilvl w:val="0"/>
                <w:numId w:val="21"/>
              </w:numPr>
              <w:spacing w:before="0" w:after="120"/>
              <w:rPr>
                <w:sz w:val="20"/>
                <w:szCs w:val="20"/>
              </w:rPr>
            </w:pPr>
            <w:r>
              <w:rPr>
                <w:sz w:val="20"/>
                <w:szCs w:val="20"/>
              </w:rPr>
              <w:t>provide information with sufficient time for the supplier to respond</w:t>
            </w:r>
          </w:p>
          <w:p w14:paraId="4F5FD3E5" w14:textId="77777777" w:rsidR="002A1816" w:rsidRDefault="002A1816" w:rsidP="003F2198">
            <w:pPr>
              <w:pStyle w:val="Numbered"/>
              <w:numPr>
                <w:ilvl w:val="0"/>
                <w:numId w:val="21"/>
              </w:numPr>
              <w:spacing w:before="0" w:after="120"/>
              <w:rPr>
                <w:sz w:val="20"/>
                <w:szCs w:val="20"/>
              </w:rPr>
            </w:pPr>
            <w:r>
              <w:rPr>
                <w:sz w:val="20"/>
                <w:szCs w:val="20"/>
              </w:rPr>
              <w:t xml:space="preserve">generally engage in the trading relationship in good faith. </w:t>
            </w:r>
          </w:p>
          <w:p w14:paraId="7B9BB74C" w14:textId="77777777" w:rsidR="002A1816" w:rsidRDefault="002A1816" w:rsidP="004B5F4B">
            <w:pPr>
              <w:pStyle w:val="Numbered"/>
              <w:numPr>
                <w:ilvl w:val="0"/>
                <w:numId w:val="0"/>
              </w:numPr>
              <w:spacing w:before="0" w:after="120"/>
              <w:rPr>
                <w:sz w:val="20"/>
                <w:szCs w:val="20"/>
              </w:rPr>
            </w:pPr>
            <w:r>
              <w:rPr>
                <w:sz w:val="20"/>
                <w:szCs w:val="20"/>
              </w:rPr>
              <w:t xml:space="preserve">The </w:t>
            </w:r>
            <w:r w:rsidRPr="00AC02D1">
              <w:rPr>
                <w:b/>
                <w:bCs/>
                <w:sz w:val="20"/>
                <w:szCs w:val="20"/>
              </w:rPr>
              <w:t xml:space="preserve">fair dealing will </w:t>
            </w:r>
            <w:r>
              <w:rPr>
                <w:b/>
                <w:bCs/>
                <w:sz w:val="20"/>
                <w:szCs w:val="20"/>
              </w:rPr>
              <w:t>focus on how the retailer must</w:t>
            </w:r>
            <w:r>
              <w:rPr>
                <w:sz w:val="20"/>
                <w:szCs w:val="20"/>
              </w:rPr>
              <w:t>:</w:t>
            </w:r>
          </w:p>
          <w:p w14:paraId="1FD3D17A" w14:textId="77777777" w:rsidR="002A1816" w:rsidRDefault="002A1816" w:rsidP="003F2198">
            <w:pPr>
              <w:pStyle w:val="Numbered"/>
              <w:numPr>
                <w:ilvl w:val="0"/>
                <w:numId w:val="15"/>
              </w:numPr>
              <w:spacing w:before="0" w:after="120"/>
              <w:rPr>
                <w:sz w:val="20"/>
                <w:szCs w:val="20"/>
              </w:rPr>
            </w:pPr>
            <w:r>
              <w:rPr>
                <w:sz w:val="20"/>
                <w:szCs w:val="20"/>
              </w:rPr>
              <w:t>avoid discrimination or distinction between suppliers</w:t>
            </w:r>
          </w:p>
          <w:p w14:paraId="12656A7F" w14:textId="5F0653AD" w:rsidR="00F34942" w:rsidRPr="00F34942" w:rsidRDefault="002A1816" w:rsidP="003F2198">
            <w:pPr>
              <w:pStyle w:val="Numbered"/>
              <w:numPr>
                <w:ilvl w:val="0"/>
                <w:numId w:val="15"/>
              </w:numPr>
              <w:spacing w:before="0" w:after="120"/>
              <w:rPr>
                <w:b/>
                <w:bCs/>
                <w:sz w:val="20"/>
                <w:szCs w:val="20"/>
              </w:rPr>
            </w:pPr>
            <w:r>
              <w:rPr>
                <w:sz w:val="20"/>
                <w:szCs w:val="20"/>
              </w:rPr>
              <w:lastRenderedPageBreak/>
              <w:t>consider the nature of the relationship between the retailer and supplier</w:t>
            </w:r>
          </w:p>
          <w:p w14:paraId="1856C342" w14:textId="4A1B3FA5" w:rsidR="002A1816" w:rsidRPr="002A1816" w:rsidRDefault="002A1816" w:rsidP="003F2198">
            <w:pPr>
              <w:pStyle w:val="Numbered"/>
              <w:numPr>
                <w:ilvl w:val="0"/>
                <w:numId w:val="15"/>
              </w:numPr>
              <w:spacing w:before="0" w:after="120"/>
              <w:rPr>
                <w:b/>
                <w:bCs/>
                <w:sz w:val="20"/>
                <w:szCs w:val="20"/>
              </w:rPr>
            </w:pPr>
            <w:r>
              <w:rPr>
                <w:sz w:val="20"/>
                <w:szCs w:val="20"/>
              </w:rPr>
              <w:t xml:space="preserve">consider the individual characteristics of the supplier that were known by or should have been known by the retailer. </w:t>
            </w:r>
          </w:p>
        </w:tc>
      </w:tr>
    </w:tbl>
    <w:p w14:paraId="6D458384" w14:textId="535ABAD3" w:rsidR="00F9236D" w:rsidRDefault="0064752E" w:rsidP="0064752E">
      <w:pPr>
        <w:pStyle w:val="Numbered"/>
      </w:pPr>
      <w:r>
        <w:lastRenderedPageBreak/>
        <w:t xml:space="preserve">The distinguishing feature between the three options is the mix of good faith and fair dealing. </w:t>
      </w:r>
      <w:r>
        <w:rPr>
          <w:b/>
          <w:bCs/>
        </w:rPr>
        <w:t xml:space="preserve">Option 1 </w:t>
      </w:r>
      <w:r w:rsidRPr="00AC02D1">
        <w:t xml:space="preserve">is the most limited obligation, using only good faith. </w:t>
      </w:r>
      <w:r>
        <w:t xml:space="preserve">By comparison, </w:t>
      </w:r>
      <w:r>
        <w:rPr>
          <w:b/>
          <w:bCs/>
        </w:rPr>
        <w:t>Option 3</w:t>
      </w:r>
      <w:r>
        <w:t xml:space="preserve"> has the most onerous obligation</w:t>
      </w:r>
      <w:r w:rsidR="00E80127">
        <w:t>,</w:t>
      </w:r>
      <w:r>
        <w:t xml:space="preserve"> but it would seek to clearly define the components into good faith and fair dealing. </w:t>
      </w:r>
    </w:p>
    <w:p w14:paraId="0D4FBB18" w14:textId="77777777" w:rsidR="004A4C66" w:rsidRDefault="004A4C66" w:rsidP="004A4C66">
      <w:pPr>
        <w:pStyle w:val="Numbered"/>
      </w:pPr>
      <w:r>
        <w:rPr>
          <w:b/>
          <w:bCs/>
        </w:rPr>
        <w:t xml:space="preserve">Options 1 and 2 </w:t>
      </w:r>
      <w:r>
        <w:t xml:space="preserve">include a good faith obligation that has the potential to drive an overall improvement in conduct This could reduce the likelihood of costs or risks being passed onto suppliers and improve the certainty and transparency of the terms of the trading relationship. </w:t>
      </w:r>
    </w:p>
    <w:p w14:paraId="4E899814" w14:textId="6D2A299D" w:rsidR="0064752E" w:rsidRDefault="004A4C66" w:rsidP="00DC5146">
      <w:pPr>
        <w:pStyle w:val="Numbered"/>
      </w:pPr>
      <w:r>
        <w:t>The</w:t>
      </w:r>
      <w:r w:rsidR="00F9236D">
        <w:t xml:space="preserve"> </w:t>
      </w:r>
      <w:r>
        <w:t xml:space="preserve">combined good faith and </w:t>
      </w:r>
      <w:r w:rsidR="00930E80">
        <w:t>f</w:t>
      </w:r>
      <w:r w:rsidR="0064752E">
        <w:t xml:space="preserve">air dealing </w:t>
      </w:r>
      <w:r w:rsidR="00F9236D">
        <w:t xml:space="preserve">obligation in </w:t>
      </w:r>
      <w:r w:rsidR="00F9236D" w:rsidRPr="004A4C66">
        <w:rPr>
          <w:b/>
          <w:bCs/>
        </w:rPr>
        <w:t xml:space="preserve">Option 3 </w:t>
      </w:r>
      <w:r>
        <w:t>is likely to be the most effective</w:t>
      </w:r>
      <w:r>
        <w:rPr>
          <w:b/>
          <w:bCs/>
        </w:rPr>
        <w:t>.</w:t>
      </w:r>
      <w:r w:rsidR="00F34942" w:rsidRPr="004A4C66">
        <w:rPr>
          <w:b/>
          <w:bCs/>
        </w:rPr>
        <w:t xml:space="preserve"> </w:t>
      </w:r>
      <w:r>
        <w:t>I</w:t>
      </w:r>
      <w:r w:rsidRPr="004A4C66">
        <w:t xml:space="preserve">t </w:t>
      </w:r>
      <w:r>
        <w:t xml:space="preserve">provides more protection for suppliers by </w:t>
      </w:r>
      <w:r w:rsidRPr="004A4C66">
        <w:t>requir</w:t>
      </w:r>
      <w:r>
        <w:t>ing</w:t>
      </w:r>
      <w:r w:rsidRPr="004A4C66">
        <w:rPr>
          <w:b/>
          <w:bCs/>
        </w:rPr>
        <w:t xml:space="preserve"> </w:t>
      </w:r>
      <w:r w:rsidR="00F34942">
        <w:t xml:space="preserve">a designated retailer </w:t>
      </w:r>
      <w:r>
        <w:t xml:space="preserve">to </w:t>
      </w:r>
      <w:r w:rsidR="00F34942">
        <w:t xml:space="preserve">consider the characteristics of </w:t>
      </w:r>
      <w:r>
        <w:t xml:space="preserve">the </w:t>
      </w:r>
      <w:r w:rsidR="00F34942">
        <w:t>supplier</w:t>
      </w:r>
      <w:r>
        <w:t xml:space="preserve">. This could move </w:t>
      </w:r>
      <w:r w:rsidRPr="004A4C66">
        <w:rPr>
          <w:b/>
          <w:bCs/>
        </w:rPr>
        <w:t xml:space="preserve">option 3 </w:t>
      </w:r>
      <w:r>
        <w:t xml:space="preserve">beyond the procedural matters into substantive matters, meaning it may challenge the ability of the designated retailer to negotiate firmly and fairly. However, this risk is considered small because </w:t>
      </w:r>
      <w:r w:rsidRPr="004A4C66">
        <w:rPr>
          <w:b/>
          <w:bCs/>
        </w:rPr>
        <w:t xml:space="preserve">option 3 </w:t>
      </w:r>
      <w:r>
        <w:t xml:space="preserve">is </w:t>
      </w:r>
      <w:r w:rsidR="0064752E">
        <w:t xml:space="preserve">limited to </w:t>
      </w:r>
      <w:r w:rsidR="00F9236D">
        <w:t xml:space="preserve">the </w:t>
      </w:r>
      <w:r w:rsidR="0064752E">
        <w:t>information that a supplier should reasonably be expected to know</w:t>
      </w:r>
      <w:r w:rsidR="00F9236D">
        <w:t xml:space="preserve"> and </w:t>
      </w:r>
      <w:r w:rsidR="00930E80">
        <w:t>will</w:t>
      </w:r>
      <w:r w:rsidR="00F9236D">
        <w:t xml:space="preserve"> </w:t>
      </w:r>
      <w:r w:rsidR="00930E80">
        <w:t>not require the retailer to act in the best interest of the supplier. This should manage the risk of a</w:t>
      </w:r>
      <w:r>
        <w:t>n</w:t>
      </w:r>
      <w:r w:rsidR="005069AD">
        <w:t xml:space="preserve"> overly-large</w:t>
      </w:r>
      <w:r w:rsidR="00930E80">
        <w:t xml:space="preserve"> distributional shift from retailers (and consumers) to suppliers</w:t>
      </w:r>
      <w:r w:rsidR="0064752E">
        <w:t xml:space="preserve">. </w:t>
      </w:r>
    </w:p>
    <w:bookmarkEnd w:id="101"/>
    <w:p w14:paraId="0254EF28" w14:textId="1A7D4B0D" w:rsidR="00C8092C" w:rsidRPr="00AC02D1" w:rsidRDefault="00C8092C" w:rsidP="00AC02D1">
      <w:pPr>
        <w:pStyle w:val="Numbered"/>
        <w:numPr>
          <w:ilvl w:val="0"/>
          <w:numId w:val="0"/>
        </w:numPr>
      </w:pPr>
      <w:r w:rsidRPr="00AC02D1">
        <w:rPr>
          <w:b/>
          <w:bCs/>
        </w:rPr>
        <w:t>Incentives on suppliers</w:t>
      </w:r>
    </w:p>
    <w:p w14:paraId="0307ABF8" w14:textId="49F54CA7" w:rsidR="00C8092C" w:rsidRDefault="007D04F9" w:rsidP="006648F5">
      <w:pPr>
        <w:pStyle w:val="Numbered"/>
      </w:pPr>
      <w:r>
        <w:t>T</w:t>
      </w:r>
      <w:r w:rsidR="00C8092C" w:rsidRPr="003B6665">
        <w:t xml:space="preserve">he Australian Code </w:t>
      </w:r>
      <w:r w:rsidR="00C8092C">
        <w:t>incentivises suppliers to act in good faith</w:t>
      </w:r>
      <w:r>
        <w:t>, for example</w:t>
      </w:r>
      <w:r w:rsidR="00C8092C">
        <w:t xml:space="preserve"> by making this a relevant consideration when determining whether a </w:t>
      </w:r>
      <w:r w:rsidR="00C8092C" w:rsidRPr="003B6665">
        <w:t xml:space="preserve">retailer has acted in good faith (refer to </w:t>
      </w:r>
      <w:r w:rsidR="005069AD">
        <w:t xml:space="preserve">the Australian Code, </w:t>
      </w:r>
      <w:r w:rsidR="00C8092C" w:rsidRPr="003B6665">
        <w:t>section 6B(3)(h)</w:t>
      </w:r>
      <w:r w:rsidR="00C8092C">
        <w:t>)</w:t>
      </w:r>
      <w:r>
        <w:t>.</w:t>
      </w:r>
    </w:p>
    <w:p w14:paraId="501A80F9" w14:textId="50A4FF77" w:rsidR="007D04F9" w:rsidRPr="006648F5" w:rsidRDefault="007D04F9" w:rsidP="006648F5">
      <w:pPr>
        <w:pStyle w:val="Numbered"/>
      </w:pPr>
      <w:r>
        <w:t xml:space="preserve">Such a provision could be easily included in a New Zealand Code. There are minimal risks from expecting suppliers to conduct themselves in good faith if that is the obligation on retailers. </w:t>
      </w:r>
    </w:p>
    <w:p w14:paraId="6F56DF57" w14:textId="3F834F63" w:rsidR="00613281" w:rsidRPr="00E539AD" w:rsidRDefault="00106485" w:rsidP="00E539AD">
      <w:pPr>
        <w:spacing w:before="240"/>
        <w:rPr>
          <w:b/>
          <w:bCs/>
        </w:rPr>
      </w:pPr>
      <w:r w:rsidRPr="00E539AD">
        <w:rPr>
          <w:b/>
          <w:bCs/>
        </w:rPr>
        <w:t>Treaty of Waitangi</w:t>
      </w:r>
      <w:r w:rsidR="007A6E7D" w:rsidRPr="00E539AD">
        <w:rPr>
          <w:b/>
          <w:bCs/>
        </w:rPr>
        <w:t xml:space="preserve"> and/or the </w:t>
      </w:r>
      <w:r w:rsidR="007A6E7D" w:rsidRPr="00E539AD">
        <w:rPr>
          <w:b/>
          <w:bCs/>
          <w:lang w:val="mi-NZ"/>
        </w:rPr>
        <w:t xml:space="preserve">Māori </w:t>
      </w:r>
      <w:r w:rsidR="007A6E7D" w:rsidRPr="00E539AD">
        <w:rPr>
          <w:b/>
          <w:bCs/>
        </w:rPr>
        <w:t>economy</w:t>
      </w:r>
    </w:p>
    <w:p w14:paraId="5F3B080C" w14:textId="50622234" w:rsidR="0028374E" w:rsidRDefault="0028374E" w:rsidP="00B66F3A">
      <w:pPr>
        <w:pStyle w:val="Numbered"/>
      </w:pPr>
      <w:r w:rsidRPr="0028374E">
        <w:t xml:space="preserve">The </w:t>
      </w:r>
      <w:r w:rsidRPr="00B66F3A">
        <w:t xml:space="preserve">Māori </w:t>
      </w:r>
      <w:r w:rsidRPr="0028374E">
        <w:t>economy is estimated to be worth between $50-60 billion. Māori own a substantial share of assets in the primary industrie</w:t>
      </w:r>
      <w:r w:rsidR="00E539AD">
        <w:t>s, including</w:t>
      </w:r>
      <w:r w:rsidRPr="0028374E">
        <w:t xml:space="preserve"> 50</w:t>
      </w:r>
      <w:r w:rsidR="002C0EE3">
        <w:t>%</w:t>
      </w:r>
      <w:r w:rsidRPr="0028374E">
        <w:t xml:space="preserve"> of fishing quota, 30</w:t>
      </w:r>
      <w:r w:rsidR="002C0EE3">
        <w:t>%</w:t>
      </w:r>
      <w:r w:rsidRPr="0028374E">
        <w:t xml:space="preserve"> of beef, lamb and sheep production, 10</w:t>
      </w:r>
      <w:r w:rsidR="002C0EE3">
        <w:t>%</w:t>
      </w:r>
      <w:r w:rsidRPr="0028374E">
        <w:t xml:space="preserve"> of kiwifruit production and 10</w:t>
      </w:r>
      <w:r w:rsidR="002C0EE3">
        <w:t>%</w:t>
      </w:r>
      <w:r w:rsidRPr="0028374E">
        <w:t xml:space="preserve"> of dairy</w:t>
      </w:r>
      <w:r>
        <w:t>.</w:t>
      </w:r>
    </w:p>
    <w:p w14:paraId="2F50FEA6" w14:textId="738576CE" w:rsidR="0028374E" w:rsidRPr="0028374E" w:rsidRDefault="002C0EE3" w:rsidP="00B66F3A">
      <w:pPr>
        <w:pStyle w:val="Numbered"/>
      </w:pPr>
      <w:r>
        <w:t>In addition, a</w:t>
      </w:r>
      <w:r w:rsidR="0028374E" w:rsidRPr="0028374E">
        <w:t xml:space="preserve"> growing base of food and grocery businesses </w:t>
      </w:r>
      <w:r w:rsidR="00511C09">
        <w:t xml:space="preserve">are </w:t>
      </w:r>
      <w:r w:rsidR="0028374E" w:rsidRPr="0028374E">
        <w:t>run by Māori</w:t>
      </w:r>
      <w:r w:rsidR="00E539AD">
        <w:t>.</w:t>
      </w:r>
      <w:r w:rsidR="0028374E">
        <w:t xml:space="preserve"> </w:t>
      </w:r>
      <w:r w:rsidR="00E539AD">
        <w:t>H</w:t>
      </w:r>
      <w:r w:rsidR="0028374E" w:rsidRPr="0028374E">
        <w:t xml:space="preserve">owever, Māori have limited involvement in governance and management of the food and grocery retail sector. </w:t>
      </w:r>
    </w:p>
    <w:p w14:paraId="43D21EE2" w14:textId="2B1D37A8" w:rsidR="0028374E" w:rsidRPr="00AC7A0A" w:rsidRDefault="0028374E" w:rsidP="00B66F3A">
      <w:pPr>
        <w:pStyle w:val="Numbered"/>
      </w:pPr>
      <w:r w:rsidRPr="00AC7A0A">
        <w:t xml:space="preserve">Some issues that </w:t>
      </w:r>
      <w:r w:rsidR="005B678D" w:rsidRPr="00AC7A0A">
        <w:t>were heard</w:t>
      </w:r>
      <w:r w:rsidRPr="00AC7A0A">
        <w:t xml:space="preserve"> during </w:t>
      </w:r>
      <w:r w:rsidR="005B678D" w:rsidRPr="00AC7A0A">
        <w:t xml:space="preserve">the Commission’s </w:t>
      </w:r>
      <w:r w:rsidRPr="00AC7A0A">
        <w:t xml:space="preserve">consultation </w:t>
      </w:r>
      <w:r w:rsidR="002C0EE3">
        <w:t xml:space="preserve">on the market study </w:t>
      </w:r>
      <w:r w:rsidRPr="00AC7A0A">
        <w:t>include</w:t>
      </w:r>
      <w:r w:rsidR="004C394A" w:rsidRPr="00AC7A0A">
        <w:t>d</w:t>
      </w:r>
      <w:r w:rsidRPr="00AC7A0A">
        <w:t>:</w:t>
      </w:r>
    </w:p>
    <w:p w14:paraId="2BB820A1" w14:textId="1951ACF4" w:rsidR="0028374E" w:rsidRPr="00AC7A0A" w:rsidRDefault="004C394A" w:rsidP="003F2198">
      <w:pPr>
        <w:pStyle w:val="Numbered"/>
        <w:numPr>
          <w:ilvl w:val="1"/>
          <w:numId w:val="10"/>
        </w:numPr>
      </w:pPr>
      <w:r w:rsidRPr="00AC7A0A">
        <w:lastRenderedPageBreak/>
        <w:t xml:space="preserve">that </w:t>
      </w:r>
      <w:r w:rsidRPr="00B66F3A">
        <w:t xml:space="preserve">Māori </w:t>
      </w:r>
      <w:r w:rsidRPr="00AC7A0A">
        <w:t>suppliers experienced fewer</w:t>
      </w:r>
      <w:r w:rsidR="0028374E" w:rsidRPr="00AC7A0A">
        <w:t xml:space="preserve"> opportunities to supply grocery retailers, including in tendering for private label contracts and competing with overseas </w:t>
      </w:r>
      <w:r w:rsidR="0060460A">
        <w:t>suppliers</w:t>
      </w:r>
    </w:p>
    <w:p w14:paraId="51C89947" w14:textId="40492271" w:rsidR="0028374E" w:rsidRPr="00AC7A0A" w:rsidRDefault="0060460A" w:rsidP="003F2198">
      <w:pPr>
        <w:pStyle w:val="Numbered"/>
        <w:numPr>
          <w:ilvl w:val="1"/>
          <w:numId w:val="10"/>
        </w:numPr>
      </w:pPr>
      <w:r>
        <w:t xml:space="preserve">there is </w:t>
      </w:r>
      <w:r w:rsidR="00AC7A0A" w:rsidRPr="00AC7A0A">
        <w:t xml:space="preserve">a desire for retailers to do more to support </w:t>
      </w:r>
      <w:r w:rsidR="007C373F" w:rsidRPr="00AC7A0A">
        <w:t xml:space="preserve">Māori </w:t>
      </w:r>
      <w:r w:rsidR="0028374E" w:rsidRPr="00AC7A0A">
        <w:t>suppliers’ economic development such as through access to data about consumer preferences and market opportunities for their products.</w:t>
      </w:r>
    </w:p>
    <w:p w14:paraId="7B84EF5C" w14:textId="1A654E4A" w:rsidR="004268EA" w:rsidRPr="00332324" w:rsidRDefault="007D04F9">
      <w:pPr>
        <w:pStyle w:val="Numbered"/>
      </w:pPr>
      <w:r>
        <w:t xml:space="preserve">A Code could </w:t>
      </w:r>
      <w:r w:rsidR="00A93B1D" w:rsidRPr="00AC7A0A">
        <w:t xml:space="preserve">include </w:t>
      </w:r>
      <w:r>
        <w:t xml:space="preserve">economic development-focused </w:t>
      </w:r>
      <w:r w:rsidR="00B457D5" w:rsidRPr="00A93B1D">
        <w:t>requirement</w:t>
      </w:r>
      <w:r>
        <w:t>s</w:t>
      </w:r>
      <w:r w:rsidR="00B457D5" w:rsidRPr="00A93B1D">
        <w:t xml:space="preserve"> to demonstrate support for indigenous food and grocery businesses as part of Treaty of Waitangi commitments</w:t>
      </w:r>
      <w:r>
        <w:t xml:space="preserve">, or it could require major grocery retailers to </w:t>
      </w:r>
      <w:r w:rsidR="00332324" w:rsidRPr="00332324">
        <w:t xml:space="preserve">have targets and aspirations </w:t>
      </w:r>
      <w:r w:rsidR="00E6697E">
        <w:t>to</w:t>
      </w:r>
      <w:r w:rsidR="00332324" w:rsidRPr="00332324">
        <w:t xml:space="preserve"> </w:t>
      </w:r>
      <w:r w:rsidR="00E6697E" w:rsidRPr="00332324">
        <w:t xml:space="preserve">lift capacity and capability of </w:t>
      </w:r>
      <w:r>
        <w:rPr>
          <w:lang w:val="mi-NZ"/>
        </w:rPr>
        <w:t xml:space="preserve">Māori </w:t>
      </w:r>
      <w:r w:rsidR="00E6697E" w:rsidRPr="00332324">
        <w:t>suppliers</w:t>
      </w:r>
      <w:r>
        <w:t>.</w:t>
      </w:r>
    </w:p>
    <w:p w14:paraId="3312C2DF" w14:textId="20D0C807" w:rsidR="005F23AC" w:rsidRDefault="007D04F9" w:rsidP="005445D7">
      <w:pPr>
        <w:pStyle w:val="Numbered"/>
      </w:pPr>
      <w:r>
        <w:t xml:space="preserve">Alternatively, a </w:t>
      </w:r>
      <w:r w:rsidR="007E57F6">
        <w:t>Code</w:t>
      </w:r>
      <w:r>
        <w:t xml:space="preserve"> could provide adequate recognition of </w:t>
      </w:r>
      <w:r w:rsidR="005F23AC">
        <w:t xml:space="preserve">tikanga </w:t>
      </w:r>
      <w:r w:rsidR="005F23AC" w:rsidRPr="007D04F9">
        <w:rPr>
          <w:lang w:val="mi-NZ"/>
        </w:rPr>
        <w:t xml:space="preserve">Māori </w:t>
      </w:r>
      <w:r w:rsidR="005F23AC">
        <w:t xml:space="preserve">or Te Ao </w:t>
      </w:r>
      <w:r w:rsidR="005F23AC" w:rsidRPr="007D04F9">
        <w:rPr>
          <w:lang w:val="mi-NZ"/>
        </w:rPr>
        <w:t xml:space="preserve">Māori </w:t>
      </w:r>
      <w:r w:rsidR="0008674B">
        <w:t xml:space="preserve">where appropriate – for example in </w:t>
      </w:r>
      <w:r>
        <w:t xml:space="preserve">any </w:t>
      </w:r>
      <w:r w:rsidR="005F23AC">
        <w:t>overarching obligation</w:t>
      </w:r>
      <w:r>
        <w:t xml:space="preserve"> (good faith or fair dealing), or in dispute resolution processes</w:t>
      </w:r>
      <w:r w:rsidR="005F23AC">
        <w:t xml:space="preserve">. </w:t>
      </w:r>
    </w:p>
    <w:p w14:paraId="2B9611AA" w14:textId="1C3A5E85" w:rsidR="00531897" w:rsidRDefault="00531897" w:rsidP="00871288">
      <w:pPr>
        <w:pStyle w:val="Heading2"/>
        <w:tabs>
          <w:tab w:val="left" w:pos="567"/>
        </w:tabs>
      </w:pPr>
      <w:bookmarkStart w:id="109" w:name="_Toc104358652"/>
      <w:bookmarkStart w:id="110" w:name="_Toc107919633"/>
      <w:bookmarkStart w:id="111" w:name="_Toc103173686"/>
      <w:r>
        <w:t>4.</w:t>
      </w:r>
      <w:r w:rsidR="00B51109">
        <w:t>4</w:t>
      </w:r>
      <w:r w:rsidR="00871288">
        <w:tab/>
      </w:r>
      <w:r w:rsidR="00861D0E">
        <w:t xml:space="preserve">Preliminary options </w:t>
      </w:r>
      <w:r>
        <w:t>analysis</w:t>
      </w:r>
      <w:r>
        <w:rPr>
          <w:rStyle w:val="FootnoteReference"/>
        </w:rPr>
        <w:footnoteReference w:id="18"/>
      </w:r>
      <w:bookmarkEnd w:id="109"/>
      <w:bookmarkEnd w:id="110"/>
    </w:p>
    <w:tbl>
      <w:tblPr>
        <w:tblStyle w:val="TableGrid"/>
        <w:tblW w:w="938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CellMar>
          <w:top w:w="85" w:type="dxa"/>
          <w:bottom w:w="85" w:type="dxa"/>
        </w:tblCellMar>
        <w:tblLook w:val="04A0" w:firstRow="1" w:lastRow="0" w:firstColumn="1" w:lastColumn="0" w:noHBand="0" w:noVBand="1"/>
      </w:tblPr>
      <w:tblGrid>
        <w:gridCol w:w="1011"/>
        <w:gridCol w:w="2250"/>
        <w:gridCol w:w="2976"/>
        <w:gridCol w:w="3148"/>
      </w:tblGrid>
      <w:tr w:rsidR="00531897" w:rsidRPr="00D17979" w14:paraId="5B311EC3" w14:textId="77777777" w:rsidTr="00107398">
        <w:tc>
          <w:tcPr>
            <w:tcW w:w="1011" w:type="dxa"/>
            <w:shd w:val="clear" w:color="auto" w:fill="D9D9D9" w:themeFill="background1" w:themeFillShade="D9"/>
          </w:tcPr>
          <w:p w14:paraId="37307EF3" w14:textId="77777777" w:rsidR="00531897" w:rsidRPr="005239EF" w:rsidRDefault="00531897" w:rsidP="005509A4">
            <w:pPr>
              <w:pStyle w:val="Numbered"/>
              <w:numPr>
                <w:ilvl w:val="0"/>
                <w:numId w:val="0"/>
              </w:numPr>
              <w:spacing w:before="0"/>
              <w:rPr>
                <w:b/>
                <w:bCs/>
              </w:rPr>
            </w:pPr>
            <w:bookmarkStart w:id="112" w:name="_Hlk103606789"/>
          </w:p>
        </w:tc>
        <w:tc>
          <w:tcPr>
            <w:tcW w:w="2250" w:type="dxa"/>
            <w:shd w:val="clear" w:color="auto" w:fill="D9D9D9" w:themeFill="background1" w:themeFillShade="D9"/>
          </w:tcPr>
          <w:p w14:paraId="5A830219" w14:textId="77777777" w:rsidR="00531897" w:rsidRPr="00FD6B5D" w:rsidRDefault="00531897" w:rsidP="005509A4">
            <w:pPr>
              <w:pStyle w:val="Numbered"/>
              <w:numPr>
                <w:ilvl w:val="0"/>
                <w:numId w:val="0"/>
              </w:numPr>
              <w:tabs>
                <w:tab w:val="left" w:pos="1428"/>
              </w:tabs>
              <w:spacing w:before="0"/>
              <w:rPr>
                <w:b/>
                <w:bCs/>
              </w:rPr>
            </w:pPr>
            <w:r w:rsidRPr="00FD6B5D">
              <w:rPr>
                <w:b/>
                <w:bCs/>
              </w:rPr>
              <w:t>Option 1 Principle-based Code</w:t>
            </w:r>
          </w:p>
          <w:p w14:paraId="6EF46068" w14:textId="77777777" w:rsidR="00531897" w:rsidRPr="00A82B1F" w:rsidRDefault="00531897" w:rsidP="004B5F4B">
            <w:pPr>
              <w:pStyle w:val="Numbered"/>
              <w:numPr>
                <w:ilvl w:val="0"/>
                <w:numId w:val="0"/>
              </w:numPr>
              <w:tabs>
                <w:tab w:val="left" w:pos="1428"/>
              </w:tabs>
              <w:spacing w:before="0" w:after="120"/>
              <w:rPr>
                <w:sz w:val="20"/>
                <w:szCs w:val="20"/>
              </w:rPr>
            </w:pPr>
            <w:r w:rsidRPr="00A82B1F">
              <w:rPr>
                <w:sz w:val="20"/>
                <w:szCs w:val="20"/>
              </w:rPr>
              <w:t>Purpose is to improve the balance of negotiating power</w:t>
            </w:r>
            <w:r w:rsidR="00E55D72">
              <w:rPr>
                <w:sz w:val="20"/>
                <w:szCs w:val="20"/>
              </w:rPr>
              <w:t>.</w:t>
            </w:r>
          </w:p>
          <w:p w14:paraId="30236221" w14:textId="77777777" w:rsidR="00531897" w:rsidRPr="00D17979" w:rsidRDefault="00531897" w:rsidP="004B5F4B">
            <w:pPr>
              <w:pStyle w:val="Numbered"/>
              <w:numPr>
                <w:ilvl w:val="0"/>
                <w:numId w:val="0"/>
              </w:numPr>
              <w:spacing w:before="0" w:after="120"/>
              <w:rPr>
                <w:b/>
                <w:bCs/>
              </w:rPr>
            </w:pPr>
            <w:r w:rsidRPr="00A82B1F">
              <w:rPr>
                <w:sz w:val="20"/>
                <w:szCs w:val="20"/>
              </w:rPr>
              <w:t>Good faith obligation</w:t>
            </w:r>
            <w:r>
              <w:rPr>
                <w:sz w:val="20"/>
                <w:szCs w:val="20"/>
              </w:rPr>
              <w:t>.</w:t>
            </w:r>
          </w:p>
        </w:tc>
        <w:tc>
          <w:tcPr>
            <w:tcW w:w="2976" w:type="dxa"/>
            <w:shd w:val="clear" w:color="auto" w:fill="D9D9D9" w:themeFill="background1" w:themeFillShade="D9"/>
          </w:tcPr>
          <w:p w14:paraId="787EB7E1" w14:textId="7B892C15" w:rsidR="00FD6B5D" w:rsidRDefault="00D3390A" w:rsidP="005509A4">
            <w:pPr>
              <w:pStyle w:val="Numbered"/>
              <w:numPr>
                <w:ilvl w:val="0"/>
                <w:numId w:val="0"/>
              </w:numPr>
              <w:spacing w:before="0"/>
              <w:rPr>
                <w:b/>
                <w:bCs/>
              </w:rPr>
            </w:pPr>
            <w:r w:rsidRPr="00FD6B5D">
              <w:rPr>
                <w:b/>
                <w:bCs/>
              </w:rPr>
              <w:t>Option 2 Prescriptive Code</w:t>
            </w:r>
          </w:p>
          <w:p w14:paraId="1BED5E74" w14:textId="3C753BAA" w:rsidR="00531897" w:rsidRPr="00A82B1F" w:rsidRDefault="00531897" w:rsidP="004B5F4B">
            <w:pPr>
              <w:pStyle w:val="Numbered"/>
              <w:numPr>
                <w:ilvl w:val="0"/>
                <w:numId w:val="0"/>
              </w:numPr>
              <w:spacing w:before="0" w:after="120"/>
              <w:rPr>
                <w:sz w:val="20"/>
                <w:szCs w:val="20"/>
              </w:rPr>
            </w:pPr>
            <w:r w:rsidRPr="00A82B1F">
              <w:rPr>
                <w:sz w:val="20"/>
                <w:szCs w:val="20"/>
              </w:rPr>
              <w:t>Purpose links competition in market and long-term consumer benefits with detailed areas that will be regulated by the Code</w:t>
            </w:r>
            <w:r w:rsidR="00E55D72">
              <w:rPr>
                <w:sz w:val="20"/>
                <w:szCs w:val="20"/>
              </w:rPr>
              <w:t>.</w:t>
            </w:r>
          </w:p>
          <w:p w14:paraId="7C4D3791" w14:textId="77777777" w:rsidR="00531897" w:rsidRDefault="00531897" w:rsidP="004B5F4B">
            <w:pPr>
              <w:pStyle w:val="Numbered"/>
              <w:numPr>
                <w:ilvl w:val="0"/>
                <w:numId w:val="0"/>
              </w:numPr>
              <w:spacing w:before="0" w:after="120"/>
              <w:rPr>
                <w:b/>
                <w:bCs/>
              </w:rPr>
            </w:pPr>
            <w:r w:rsidRPr="00A82B1F">
              <w:rPr>
                <w:sz w:val="20"/>
                <w:szCs w:val="20"/>
              </w:rPr>
              <w:t xml:space="preserve">Good faith obligation with some consideration of </w:t>
            </w:r>
            <w:r>
              <w:rPr>
                <w:sz w:val="20"/>
                <w:szCs w:val="20"/>
              </w:rPr>
              <w:t>the supplier’s circumstances.</w:t>
            </w:r>
          </w:p>
        </w:tc>
        <w:tc>
          <w:tcPr>
            <w:tcW w:w="3148" w:type="dxa"/>
            <w:shd w:val="clear" w:color="auto" w:fill="D9D9D9" w:themeFill="background1" w:themeFillShade="D9"/>
          </w:tcPr>
          <w:p w14:paraId="3959B50E" w14:textId="3843065B" w:rsidR="00531897" w:rsidRPr="00FD6B5D" w:rsidRDefault="00531897" w:rsidP="005509A4">
            <w:pPr>
              <w:pStyle w:val="Numbered"/>
              <w:numPr>
                <w:ilvl w:val="0"/>
                <w:numId w:val="0"/>
              </w:numPr>
              <w:spacing w:before="0"/>
              <w:rPr>
                <w:b/>
                <w:bCs/>
              </w:rPr>
            </w:pPr>
            <w:r w:rsidRPr="00FD6B5D">
              <w:rPr>
                <w:b/>
                <w:bCs/>
              </w:rPr>
              <w:t xml:space="preserve">Option 3 </w:t>
            </w:r>
            <w:r w:rsidR="00D3390A" w:rsidRPr="00FD6B5D">
              <w:rPr>
                <w:b/>
                <w:bCs/>
              </w:rPr>
              <w:t xml:space="preserve">Alternative </w:t>
            </w:r>
            <w:r w:rsidRPr="00FD6B5D">
              <w:rPr>
                <w:b/>
                <w:bCs/>
              </w:rPr>
              <w:t>Code</w:t>
            </w:r>
          </w:p>
          <w:p w14:paraId="4183ABD5" w14:textId="72329D48" w:rsidR="00531897" w:rsidRPr="00A82B1F" w:rsidRDefault="00E46B7F" w:rsidP="004B5F4B">
            <w:pPr>
              <w:pStyle w:val="Numbered"/>
              <w:numPr>
                <w:ilvl w:val="0"/>
                <w:numId w:val="0"/>
              </w:numPr>
              <w:spacing w:before="0" w:after="120"/>
              <w:rPr>
                <w:sz w:val="20"/>
                <w:szCs w:val="20"/>
              </w:rPr>
            </w:pPr>
            <w:r>
              <w:rPr>
                <w:sz w:val="20"/>
                <w:szCs w:val="20"/>
              </w:rPr>
              <w:t>Option 2</w:t>
            </w:r>
            <w:r w:rsidR="00531897" w:rsidRPr="00A82B1F">
              <w:rPr>
                <w:sz w:val="20"/>
                <w:szCs w:val="20"/>
              </w:rPr>
              <w:t xml:space="preserve"> </w:t>
            </w:r>
            <w:r w:rsidR="00937337">
              <w:rPr>
                <w:sz w:val="20"/>
                <w:szCs w:val="20"/>
              </w:rPr>
              <w:t>plus</w:t>
            </w:r>
            <w:r w:rsidR="00531897" w:rsidRPr="00A82B1F">
              <w:rPr>
                <w:sz w:val="20"/>
                <w:szCs w:val="20"/>
              </w:rPr>
              <w:t xml:space="preserve"> allow</w:t>
            </w:r>
            <w:r w:rsidR="00937337">
              <w:rPr>
                <w:sz w:val="20"/>
                <w:szCs w:val="20"/>
              </w:rPr>
              <w:t>s</w:t>
            </w:r>
            <w:r w:rsidR="00531897" w:rsidRPr="00A82B1F">
              <w:rPr>
                <w:sz w:val="20"/>
                <w:szCs w:val="20"/>
              </w:rPr>
              <w:t xml:space="preserve"> for </w:t>
            </w:r>
            <w:r w:rsidR="00531897" w:rsidRPr="00A82B1F">
              <w:rPr>
                <w:sz w:val="20"/>
                <w:szCs w:val="20"/>
                <w:lang w:val="mi-NZ"/>
              </w:rPr>
              <w:t xml:space="preserve">Māori </w:t>
            </w:r>
            <w:r w:rsidR="00531897" w:rsidRPr="00A82B1F">
              <w:rPr>
                <w:sz w:val="20"/>
                <w:szCs w:val="20"/>
              </w:rPr>
              <w:t>economic development, and broader matters relating to the trading relationship</w:t>
            </w:r>
            <w:r w:rsidR="00E55D72">
              <w:rPr>
                <w:sz w:val="20"/>
                <w:szCs w:val="20"/>
              </w:rPr>
              <w:t>.</w:t>
            </w:r>
          </w:p>
          <w:p w14:paraId="7363EABC" w14:textId="77777777" w:rsidR="00531897" w:rsidRDefault="00531897" w:rsidP="004B5F4B">
            <w:pPr>
              <w:pStyle w:val="Numbered"/>
              <w:numPr>
                <w:ilvl w:val="0"/>
                <w:numId w:val="0"/>
              </w:numPr>
              <w:spacing w:before="0" w:after="120"/>
              <w:rPr>
                <w:b/>
                <w:bCs/>
              </w:rPr>
            </w:pPr>
            <w:r w:rsidRPr="00A82B1F">
              <w:rPr>
                <w:sz w:val="20"/>
                <w:szCs w:val="20"/>
              </w:rPr>
              <w:t>Good faith and fair dealing obligations</w:t>
            </w:r>
            <w:r>
              <w:rPr>
                <w:sz w:val="20"/>
                <w:szCs w:val="20"/>
              </w:rPr>
              <w:t>.</w:t>
            </w:r>
          </w:p>
        </w:tc>
      </w:tr>
      <w:tr w:rsidR="00531897" w:rsidRPr="00D17979" w14:paraId="48EA41DC" w14:textId="77777777" w:rsidTr="00107398">
        <w:tc>
          <w:tcPr>
            <w:tcW w:w="1011" w:type="dxa"/>
            <w:shd w:val="clear" w:color="auto" w:fill="D9D9D9" w:themeFill="background1" w:themeFillShade="D9"/>
          </w:tcPr>
          <w:p w14:paraId="06761169" w14:textId="77777777" w:rsidR="00531897" w:rsidRPr="00D17979" w:rsidRDefault="00531897" w:rsidP="005509A4">
            <w:pPr>
              <w:pStyle w:val="Numbered"/>
              <w:numPr>
                <w:ilvl w:val="0"/>
                <w:numId w:val="0"/>
              </w:numPr>
              <w:spacing w:before="0"/>
              <w:rPr>
                <w:b/>
                <w:bCs/>
              </w:rPr>
            </w:pPr>
            <w:bookmarkStart w:id="113" w:name="_Hlk103607511"/>
            <w:bookmarkEnd w:id="112"/>
            <w:r>
              <w:rPr>
                <w:b/>
                <w:bCs/>
              </w:rPr>
              <w:t>Effective</w:t>
            </w:r>
          </w:p>
        </w:tc>
        <w:tc>
          <w:tcPr>
            <w:tcW w:w="2250" w:type="dxa"/>
            <w:shd w:val="clear" w:color="auto" w:fill="D9D9D9" w:themeFill="background1" w:themeFillShade="D9"/>
          </w:tcPr>
          <w:p w14:paraId="7A869234" w14:textId="77777777" w:rsidR="00531897" w:rsidRPr="00BF469B" w:rsidRDefault="00531897" w:rsidP="005509A4">
            <w:pPr>
              <w:pStyle w:val="Numbered"/>
              <w:numPr>
                <w:ilvl w:val="0"/>
                <w:numId w:val="0"/>
              </w:numPr>
              <w:spacing w:before="0"/>
              <w:rPr>
                <w:sz w:val="20"/>
                <w:szCs w:val="20"/>
              </w:rPr>
            </w:pPr>
            <w:r w:rsidRPr="00BF469B">
              <w:rPr>
                <w:sz w:val="20"/>
                <w:szCs w:val="20"/>
              </w:rPr>
              <w:t>+1</w:t>
            </w:r>
          </w:p>
          <w:p w14:paraId="1608129B" w14:textId="77777777" w:rsidR="00FD6B5D" w:rsidRDefault="00E55D72" w:rsidP="004B5F4B">
            <w:pPr>
              <w:pStyle w:val="Numbered"/>
              <w:numPr>
                <w:ilvl w:val="0"/>
                <w:numId w:val="0"/>
              </w:numPr>
              <w:spacing w:before="0" w:after="120"/>
              <w:rPr>
                <w:sz w:val="20"/>
                <w:szCs w:val="20"/>
              </w:rPr>
            </w:pPr>
            <w:r>
              <w:rPr>
                <w:sz w:val="20"/>
                <w:szCs w:val="20"/>
              </w:rPr>
              <w:t>Clear purpose of Code</w:t>
            </w:r>
            <w:r w:rsidR="00FD6B5D">
              <w:rPr>
                <w:sz w:val="20"/>
                <w:szCs w:val="20"/>
              </w:rPr>
              <w:t xml:space="preserve"> will limit content to only matters related to balance of negotiating power. </w:t>
            </w:r>
          </w:p>
          <w:p w14:paraId="17A3C36A" w14:textId="5AE96A85" w:rsidR="00531897" w:rsidRPr="00BF469B" w:rsidRDefault="00FD6B5D" w:rsidP="004B5F4B">
            <w:pPr>
              <w:pStyle w:val="Numbered"/>
              <w:numPr>
                <w:ilvl w:val="0"/>
                <w:numId w:val="0"/>
              </w:numPr>
              <w:spacing w:before="0" w:after="120"/>
              <w:rPr>
                <w:b/>
                <w:bCs/>
                <w:sz w:val="20"/>
                <w:szCs w:val="20"/>
              </w:rPr>
            </w:pPr>
            <w:r>
              <w:rPr>
                <w:sz w:val="20"/>
                <w:szCs w:val="20"/>
              </w:rPr>
              <w:t>G</w:t>
            </w:r>
            <w:r w:rsidR="00E55D72">
              <w:rPr>
                <w:sz w:val="20"/>
                <w:szCs w:val="20"/>
              </w:rPr>
              <w:t xml:space="preserve">ood faith </w:t>
            </w:r>
            <w:r>
              <w:rPr>
                <w:sz w:val="20"/>
                <w:szCs w:val="20"/>
              </w:rPr>
              <w:t xml:space="preserve">provision </w:t>
            </w:r>
            <w:r w:rsidR="00E55D72">
              <w:rPr>
                <w:sz w:val="20"/>
                <w:szCs w:val="20"/>
              </w:rPr>
              <w:t>will i</w:t>
            </w:r>
            <w:r w:rsidR="00531897" w:rsidRPr="00BF469B">
              <w:rPr>
                <w:sz w:val="20"/>
                <w:szCs w:val="20"/>
              </w:rPr>
              <w:t>mprove ability of suppliers to negotiate with retailers.</w:t>
            </w:r>
          </w:p>
        </w:tc>
        <w:tc>
          <w:tcPr>
            <w:tcW w:w="2976" w:type="dxa"/>
            <w:shd w:val="clear" w:color="auto" w:fill="D9D9D9" w:themeFill="background1" w:themeFillShade="D9"/>
          </w:tcPr>
          <w:p w14:paraId="008C69FE" w14:textId="77777777" w:rsidR="00531897" w:rsidRPr="00BF469B" w:rsidRDefault="00531897" w:rsidP="005509A4">
            <w:pPr>
              <w:pStyle w:val="Numbered"/>
              <w:numPr>
                <w:ilvl w:val="0"/>
                <w:numId w:val="0"/>
              </w:numPr>
              <w:spacing w:before="0"/>
              <w:rPr>
                <w:sz w:val="20"/>
                <w:szCs w:val="20"/>
              </w:rPr>
            </w:pPr>
            <w:r w:rsidRPr="00BF469B">
              <w:rPr>
                <w:sz w:val="20"/>
                <w:szCs w:val="20"/>
              </w:rPr>
              <w:t>+2</w:t>
            </w:r>
          </w:p>
          <w:p w14:paraId="41578934" w14:textId="54BC3C2F" w:rsidR="00FD6B5D" w:rsidRDefault="004A4C66" w:rsidP="004B5F4B">
            <w:pPr>
              <w:pStyle w:val="Numbered"/>
              <w:numPr>
                <w:ilvl w:val="0"/>
                <w:numId w:val="0"/>
              </w:numPr>
              <w:spacing w:before="0" w:after="120"/>
              <w:rPr>
                <w:sz w:val="20"/>
                <w:szCs w:val="20"/>
              </w:rPr>
            </w:pPr>
            <w:r>
              <w:rPr>
                <w:sz w:val="20"/>
                <w:szCs w:val="20"/>
              </w:rPr>
              <w:t>P</w:t>
            </w:r>
            <w:r w:rsidR="00FD6B5D">
              <w:rPr>
                <w:sz w:val="20"/>
                <w:szCs w:val="20"/>
              </w:rPr>
              <w:t xml:space="preserve">urpose of the Code should be effective </w:t>
            </w:r>
            <w:r>
              <w:rPr>
                <w:sz w:val="20"/>
                <w:szCs w:val="20"/>
              </w:rPr>
              <w:t xml:space="preserve">and focused on consumer benefit </w:t>
            </w:r>
            <w:r w:rsidR="00FD6B5D">
              <w:rPr>
                <w:sz w:val="20"/>
                <w:szCs w:val="20"/>
              </w:rPr>
              <w:t>over long-term.</w:t>
            </w:r>
            <w:r w:rsidR="00FD6B5D" w:rsidRPr="00BF469B">
              <w:rPr>
                <w:sz w:val="20"/>
                <w:szCs w:val="20"/>
              </w:rPr>
              <w:t xml:space="preserve"> </w:t>
            </w:r>
          </w:p>
          <w:p w14:paraId="25CAD665" w14:textId="47A84E47" w:rsidR="00531897" w:rsidRPr="00BF469B" w:rsidRDefault="00531897" w:rsidP="004B5F4B">
            <w:pPr>
              <w:pStyle w:val="Numbered"/>
              <w:numPr>
                <w:ilvl w:val="0"/>
                <w:numId w:val="0"/>
              </w:numPr>
              <w:spacing w:before="0" w:after="120"/>
              <w:rPr>
                <w:b/>
                <w:bCs/>
                <w:sz w:val="20"/>
                <w:szCs w:val="20"/>
              </w:rPr>
            </w:pPr>
            <w:r w:rsidRPr="00BF469B">
              <w:rPr>
                <w:sz w:val="20"/>
                <w:szCs w:val="20"/>
              </w:rPr>
              <w:t>Strong good faith obligation will adjust negotiating power between major grocery retailer and supplier to promote competition in the long</w:t>
            </w:r>
            <w:r w:rsidR="00937337">
              <w:rPr>
                <w:sz w:val="20"/>
                <w:szCs w:val="20"/>
              </w:rPr>
              <w:t xml:space="preserve"> </w:t>
            </w:r>
            <w:r w:rsidRPr="00BF469B">
              <w:rPr>
                <w:sz w:val="20"/>
                <w:szCs w:val="20"/>
              </w:rPr>
              <w:t>term</w:t>
            </w:r>
            <w:r>
              <w:rPr>
                <w:sz w:val="20"/>
                <w:szCs w:val="20"/>
              </w:rPr>
              <w:t>.</w:t>
            </w:r>
          </w:p>
        </w:tc>
        <w:tc>
          <w:tcPr>
            <w:tcW w:w="3148" w:type="dxa"/>
            <w:shd w:val="clear" w:color="auto" w:fill="D9D9D9" w:themeFill="background1" w:themeFillShade="D9"/>
          </w:tcPr>
          <w:p w14:paraId="718F9F1B" w14:textId="1ECFCB18" w:rsidR="00531897" w:rsidRPr="00BF469B" w:rsidRDefault="00531897" w:rsidP="005509A4">
            <w:pPr>
              <w:pStyle w:val="Numbered"/>
              <w:numPr>
                <w:ilvl w:val="0"/>
                <w:numId w:val="0"/>
              </w:numPr>
              <w:spacing w:before="0"/>
              <w:rPr>
                <w:sz w:val="20"/>
                <w:szCs w:val="20"/>
              </w:rPr>
            </w:pPr>
            <w:r w:rsidRPr="00BF469B">
              <w:rPr>
                <w:sz w:val="20"/>
                <w:szCs w:val="20"/>
              </w:rPr>
              <w:t>+</w:t>
            </w:r>
            <w:r w:rsidR="00FD6B5D">
              <w:rPr>
                <w:sz w:val="20"/>
                <w:szCs w:val="20"/>
              </w:rPr>
              <w:t>3</w:t>
            </w:r>
          </w:p>
          <w:p w14:paraId="4C596DA0" w14:textId="7780313F" w:rsidR="00FD6B5D" w:rsidRDefault="00FD6B5D" w:rsidP="004B5F4B">
            <w:pPr>
              <w:pStyle w:val="Numbered"/>
              <w:numPr>
                <w:ilvl w:val="0"/>
                <w:numId w:val="0"/>
              </w:numPr>
              <w:spacing w:before="0" w:after="120"/>
              <w:rPr>
                <w:sz w:val="20"/>
                <w:szCs w:val="20"/>
              </w:rPr>
            </w:pPr>
            <w:r>
              <w:rPr>
                <w:sz w:val="20"/>
                <w:szCs w:val="20"/>
              </w:rPr>
              <w:t xml:space="preserve">Purpose of Code is detailed </w:t>
            </w:r>
            <w:r w:rsidR="00E46B7F">
              <w:rPr>
                <w:sz w:val="20"/>
                <w:szCs w:val="20"/>
              </w:rPr>
              <w:t xml:space="preserve">and </w:t>
            </w:r>
            <w:r>
              <w:rPr>
                <w:sz w:val="20"/>
                <w:szCs w:val="20"/>
              </w:rPr>
              <w:t>provid</w:t>
            </w:r>
            <w:r w:rsidR="00E46B7F">
              <w:rPr>
                <w:sz w:val="20"/>
                <w:szCs w:val="20"/>
              </w:rPr>
              <w:t>es</w:t>
            </w:r>
            <w:r>
              <w:rPr>
                <w:sz w:val="20"/>
                <w:szCs w:val="20"/>
              </w:rPr>
              <w:t xml:space="preserve"> clear scope to consider related matters and grounds for economic development.</w:t>
            </w:r>
          </w:p>
          <w:p w14:paraId="2DD7BFEA" w14:textId="24AF0E45" w:rsidR="00531897" w:rsidRPr="00BF469B" w:rsidRDefault="00531897" w:rsidP="004B5F4B">
            <w:pPr>
              <w:pStyle w:val="Numbered"/>
              <w:numPr>
                <w:ilvl w:val="0"/>
                <w:numId w:val="0"/>
              </w:numPr>
              <w:spacing w:before="0" w:after="120"/>
              <w:rPr>
                <w:b/>
                <w:bCs/>
                <w:sz w:val="20"/>
                <w:szCs w:val="20"/>
              </w:rPr>
            </w:pPr>
            <w:r>
              <w:rPr>
                <w:sz w:val="20"/>
                <w:szCs w:val="20"/>
              </w:rPr>
              <w:t>G</w:t>
            </w:r>
            <w:r w:rsidRPr="00BF469B">
              <w:rPr>
                <w:sz w:val="20"/>
                <w:szCs w:val="20"/>
              </w:rPr>
              <w:t>ood faith and fair dealing obligation</w:t>
            </w:r>
            <w:r>
              <w:rPr>
                <w:sz w:val="20"/>
                <w:szCs w:val="20"/>
              </w:rPr>
              <w:t>s</w:t>
            </w:r>
            <w:r w:rsidRPr="00BF469B">
              <w:rPr>
                <w:sz w:val="20"/>
                <w:szCs w:val="20"/>
              </w:rPr>
              <w:t xml:space="preserve"> will be most effective at improving negotiating power of suppliers to promote competition in the long</w:t>
            </w:r>
            <w:r w:rsidR="00937337">
              <w:rPr>
                <w:sz w:val="20"/>
                <w:szCs w:val="20"/>
              </w:rPr>
              <w:t xml:space="preserve"> </w:t>
            </w:r>
            <w:r w:rsidRPr="00BF469B">
              <w:rPr>
                <w:sz w:val="20"/>
                <w:szCs w:val="20"/>
              </w:rPr>
              <w:t>term</w:t>
            </w:r>
            <w:r>
              <w:rPr>
                <w:sz w:val="20"/>
                <w:szCs w:val="20"/>
              </w:rPr>
              <w:t>. Some risk that retailers may be constrained by fair dealing obligation.</w:t>
            </w:r>
          </w:p>
        </w:tc>
      </w:tr>
      <w:tr w:rsidR="00531897" w:rsidRPr="00D17979" w14:paraId="1876323F" w14:textId="77777777" w:rsidTr="00107398">
        <w:trPr>
          <w:cantSplit/>
        </w:trPr>
        <w:tc>
          <w:tcPr>
            <w:tcW w:w="1011" w:type="dxa"/>
            <w:shd w:val="clear" w:color="auto" w:fill="D9D9D9" w:themeFill="background1" w:themeFillShade="D9"/>
          </w:tcPr>
          <w:p w14:paraId="5DED6432" w14:textId="77777777" w:rsidR="00531897" w:rsidRPr="005239EF" w:rsidRDefault="00531897" w:rsidP="005509A4">
            <w:pPr>
              <w:pStyle w:val="Numbered"/>
              <w:numPr>
                <w:ilvl w:val="0"/>
                <w:numId w:val="0"/>
              </w:numPr>
              <w:spacing w:before="0"/>
              <w:rPr>
                <w:b/>
                <w:bCs/>
              </w:rPr>
            </w:pPr>
            <w:r>
              <w:rPr>
                <w:b/>
                <w:bCs/>
              </w:rPr>
              <w:lastRenderedPageBreak/>
              <w:t>Efficient</w:t>
            </w:r>
          </w:p>
        </w:tc>
        <w:tc>
          <w:tcPr>
            <w:tcW w:w="2250" w:type="dxa"/>
            <w:shd w:val="clear" w:color="auto" w:fill="D9D9D9" w:themeFill="background1" w:themeFillShade="D9"/>
          </w:tcPr>
          <w:p w14:paraId="7729B2BE" w14:textId="6AC32988" w:rsidR="00531897" w:rsidRPr="00BF469B" w:rsidRDefault="00531897" w:rsidP="005509A4">
            <w:pPr>
              <w:pStyle w:val="Numbered"/>
              <w:numPr>
                <w:ilvl w:val="0"/>
                <w:numId w:val="0"/>
              </w:numPr>
              <w:spacing w:before="0"/>
              <w:rPr>
                <w:sz w:val="20"/>
                <w:szCs w:val="20"/>
              </w:rPr>
            </w:pPr>
            <w:r w:rsidRPr="00BF469B">
              <w:rPr>
                <w:sz w:val="20"/>
                <w:szCs w:val="20"/>
              </w:rPr>
              <w:t>-</w:t>
            </w:r>
            <w:r w:rsidR="00FD6B5D">
              <w:rPr>
                <w:sz w:val="20"/>
                <w:szCs w:val="20"/>
              </w:rPr>
              <w:t>1</w:t>
            </w:r>
          </w:p>
          <w:p w14:paraId="1AB7AE98" w14:textId="065DCA1F" w:rsidR="00FD6B5D" w:rsidRDefault="00FD6B5D" w:rsidP="004B5F4B">
            <w:pPr>
              <w:pStyle w:val="Numbered"/>
              <w:numPr>
                <w:ilvl w:val="0"/>
                <w:numId w:val="0"/>
              </w:numPr>
              <w:spacing w:before="0" w:after="120"/>
              <w:rPr>
                <w:sz w:val="20"/>
                <w:szCs w:val="20"/>
              </w:rPr>
            </w:pPr>
            <w:r>
              <w:rPr>
                <w:sz w:val="20"/>
                <w:szCs w:val="20"/>
              </w:rPr>
              <w:t>P</w:t>
            </w:r>
            <w:r w:rsidR="00531897" w:rsidRPr="00BF469B">
              <w:rPr>
                <w:sz w:val="20"/>
                <w:szCs w:val="20"/>
              </w:rPr>
              <w:t xml:space="preserve">urpose </w:t>
            </w:r>
            <w:r>
              <w:rPr>
                <w:sz w:val="20"/>
                <w:szCs w:val="20"/>
              </w:rPr>
              <w:t xml:space="preserve">is narrowly defined to </w:t>
            </w:r>
            <w:r w:rsidR="00E46B7F">
              <w:rPr>
                <w:sz w:val="20"/>
                <w:szCs w:val="20"/>
              </w:rPr>
              <w:t>reduce any uncertainty or costs.</w:t>
            </w:r>
            <w:r>
              <w:rPr>
                <w:sz w:val="20"/>
                <w:szCs w:val="20"/>
              </w:rPr>
              <w:t xml:space="preserve"> </w:t>
            </w:r>
          </w:p>
          <w:p w14:paraId="15BB2866" w14:textId="45FEC175" w:rsidR="00531897" w:rsidRPr="00BF469B" w:rsidRDefault="00FD6B5D" w:rsidP="004B5F4B">
            <w:pPr>
              <w:pStyle w:val="Numbered"/>
              <w:numPr>
                <w:ilvl w:val="0"/>
                <w:numId w:val="0"/>
              </w:numPr>
              <w:spacing w:before="0" w:after="120"/>
              <w:rPr>
                <w:b/>
                <w:bCs/>
                <w:sz w:val="20"/>
                <w:szCs w:val="20"/>
              </w:rPr>
            </w:pPr>
            <w:r>
              <w:rPr>
                <w:sz w:val="20"/>
                <w:szCs w:val="20"/>
              </w:rPr>
              <w:t>Good faith is clear and easy to implement</w:t>
            </w:r>
          </w:p>
        </w:tc>
        <w:tc>
          <w:tcPr>
            <w:tcW w:w="2976" w:type="dxa"/>
            <w:shd w:val="clear" w:color="auto" w:fill="D9D9D9" w:themeFill="background1" w:themeFillShade="D9"/>
          </w:tcPr>
          <w:p w14:paraId="480990D2" w14:textId="0DD217A0" w:rsidR="00531897" w:rsidRPr="00BF469B" w:rsidRDefault="00531897" w:rsidP="005509A4">
            <w:pPr>
              <w:pStyle w:val="Numbered"/>
              <w:numPr>
                <w:ilvl w:val="0"/>
                <w:numId w:val="0"/>
              </w:numPr>
              <w:spacing w:before="0"/>
              <w:rPr>
                <w:sz w:val="20"/>
                <w:szCs w:val="20"/>
              </w:rPr>
            </w:pPr>
            <w:r w:rsidRPr="00BF469B">
              <w:rPr>
                <w:sz w:val="20"/>
                <w:szCs w:val="20"/>
              </w:rPr>
              <w:t>-1</w:t>
            </w:r>
            <w:r w:rsidR="00E46B7F">
              <w:rPr>
                <w:sz w:val="20"/>
                <w:szCs w:val="20"/>
              </w:rPr>
              <w:t>.5</w:t>
            </w:r>
          </w:p>
          <w:p w14:paraId="061F53D3" w14:textId="7D0AD645" w:rsidR="00FD6B5D" w:rsidRDefault="00FD6B5D" w:rsidP="004B5F4B">
            <w:pPr>
              <w:pStyle w:val="Numbered"/>
              <w:numPr>
                <w:ilvl w:val="0"/>
                <w:numId w:val="0"/>
              </w:numPr>
              <w:spacing w:before="0" w:after="120"/>
              <w:rPr>
                <w:sz w:val="20"/>
                <w:szCs w:val="20"/>
              </w:rPr>
            </w:pPr>
            <w:r>
              <w:rPr>
                <w:sz w:val="20"/>
                <w:szCs w:val="20"/>
              </w:rPr>
              <w:t>P</w:t>
            </w:r>
            <w:r w:rsidRPr="00BF469B">
              <w:rPr>
                <w:sz w:val="20"/>
                <w:szCs w:val="20"/>
              </w:rPr>
              <w:t xml:space="preserve">urpose </w:t>
            </w:r>
            <w:r w:rsidR="00E46B7F">
              <w:rPr>
                <w:sz w:val="20"/>
                <w:szCs w:val="20"/>
              </w:rPr>
              <w:t>targets supplier-retailer issues through competition and consumer long-term benefit, which may create additional costs.</w:t>
            </w:r>
          </w:p>
          <w:p w14:paraId="320591DF" w14:textId="4480C91D" w:rsidR="00531897" w:rsidRPr="00BF469B" w:rsidRDefault="00531897" w:rsidP="004B5F4B">
            <w:pPr>
              <w:pStyle w:val="Numbered"/>
              <w:numPr>
                <w:ilvl w:val="0"/>
                <w:numId w:val="0"/>
              </w:numPr>
              <w:spacing w:before="0" w:after="120"/>
              <w:rPr>
                <w:b/>
                <w:bCs/>
                <w:sz w:val="20"/>
                <w:szCs w:val="20"/>
              </w:rPr>
            </w:pPr>
          </w:p>
        </w:tc>
        <w:tc>
          <w:tcPr>
            <w:tcW w:w="3148" w:type="dxa"/>
            <w:shd w:val="clear" w:color="auto" w:fill="D9D9D9" w:themeFill="background1" w:themeFillShade="D9"/>
          </w:tcPr>
          <w:p w14:paraId="1AB9D9BA" w14:textId="5EAC2CB8" w:rsidR="00531897" w:rsidRPr="00BF469B" w:rsidRDefault="00531897" w:rsidP="005509A4">
            <w:pPr>
              <w:pStyle w:val="Numbered"/>
              <w:numPr>
                <w:ilvl w:val="0"/>
                <w:numId w:val="0"/>
              </w:numPr>
              <w:spacing w:before="0"/>
              <w:rPr>
                <w:sz w:val="20"/>
                <w:szCs w:val="20"/>
              </w:rPr>
            </w:pPr>
            <w:r w:rsidRPr="00BF469B">
              <w:rPr>
                <w:sz w:val="20"/>
                <w:szCs w:val="20"/>
              </w:rPr>
              <w:t>-</w:t>
            </w:r>
            <w:r w:rsidR="00E46B7F">
              <w:rPr>
                <w:sz w:val="20"/>
                <w:szCs w:val="20"/>
              </w:rPr>
              <w:t>2</w:t>
            </w:r>
          </w:p>
          <w:p w14:paraId="4DBA6816" w14:textId="2D0EFF30" w:rsidR="00FD6B5D" w:rsidRDefault="00FD6B5D" w:rsidP="004B5F4B">
            <w:pPr>
              <w:pStyle w:val="Numbered"/>
              <w:numPr>
                <w:ilvl w:val="0"/>
                <w:numId w:val="0"/>
              </w:numPr>
              <w:spacing w:before="0" w:after="120"/>
              <w:rPr>
                <w:sz w:val="20"/>
                <w:szCs w:val="20"/>
              </w:rPr>
            </w:pPr>
            <w:r>
              <w:rPr>
                <w:sz w:val="20"/>
                <w:szCs w:val="20"/>
              </w:rPr>
              <w:t xml:space="preserve">Broader purpose </w:t>
            </w:r>
            <w:r w:rsidR="00E46B7F">
              <w:rPr>
                <w:sz w:val="20"/>
                <w:szCs w:val="20"/>
              </w:rPr>
              <w:t xml:space="preserve">and some complexity </w:t>
            </w:r>
            <w:r>
              <w:rPr>
                <w:sz w:val="20"/>
                <w:szCs w:val="20"/>
              </w:rPr>
              <w:t xml:space="preserve">means Code could add more costs to designated retailers. </w:t>
            </w:r>
          </w:p>
          <w:p w14:paraId="66E27382" w14:textId="0AF75667" w:rsidR="00531897" w:rsidRPr="00BF469B" w:rsidRDefault="00531897" w:rsidP="004B5F4B">
            <w:pPr>
              <w:pStyle w:val="Numbered"/>
              <w:numPr>
                <w:ilvl w:val="0"/>
                <w:numId w:val="0"/>
              </w:numPr>
              <w:spacing w:before="0" w:after="120"/>
              <w:rPr>
                <w:b/>
                <w:bCs/>
                <w:sz w:val="20"/>
                <w:szCs w:val="20"/>
              </w:rPr>
            </w:pPr>
            <w:r w:rsidRPr="00BF469B">
              <w:rPr>
                <w:sz w:val="20"/>
                <w:szCs w:val="20"/>
              </w:rPr>
              <w:t xml:space="preserve">More detailed provisions may add extra costs to some retailers but should deliver more protection (and gains) for suppliers.  </w:t>
            </w:r>
          </w:p>
        </w:tc>
      </w:tr>
      <w:tr w:rsidR="00531897" w:rsidRPr="00D17979" w14:paraId="74537745" w14:textId="77777777" w:rsidTr="00107398">
        <w:tc>
          <w:tcPr>
            <w:tcW w:w="1011" w:type="dxa"/>
            <w:shd w:val="clear" w:color="auto" w:fill="D9D9D9" w:themeFill="background1" w:themeFillShade="D9"/>
          </w:tcPr>
          <w:p w14:paraId="09726392" w14:textId="77777777" w:rsidR="00531897" w:rsidRPr="005239EF" w:rsidRDefault="00531897" w:rsidP="005509A4">
            <w:pPr>
              <w:pStyle w:val="Numbered"/>
              <w:numPr>
                <w:ilvl w:val="0"/>
                <w:numId w:val="0"/>
              </w:numPr>
              <w:spacing w:before="0"/>
              <w:rPr>
                <w:b/>
                <w:bCs/>
              </w:rPr>
            </w:pPr>
            <w:r w:rsidRPr="001604BA">
              <w:rPr>
                <w:b/>
                <w:bCs/>
              </w:rPr>
              <w:t xml:space="preserve">Durable </w:t>
            </w:r>
          </w:p>
        </w:tc>
        <w:tc>
          <w:tcPr>
            <w:tcW w:w="2250" w:type="dxa"/>
            <w:shd w:val="clear" w:color="auto" w:fill="D9D9D9" w:themeFill="background1" w:themeFillShade="D9"/>
          </w:tcPr>
          <w:p w14:paraId="046292DD" w14:textId="59508676" w:rsidR="00531897" w:rsidRPr="00BF469B" w:rsidRDefault="00531897" w:rsidP="005509A4">
            <w:pPr>
              <w:pStyle w:val="Numbered"/>
              <w:numPr>
                <w:ilvl w:val="0"/>
                <w:numId w:val="0"/>
              </w:numPr>
              <w:spacing w:before="0"/>
              <w:rPr>
                <w:sz w:val="20"/>
                <w:szCs w:val="20"/>
              </w:rPr>
            </w:pPr>
            <w:r w:rsidRPr="00BF469B">
              <w:rPr>
                <w:sz w:val="20"/>
                <w:szCs w:val="20"/>
              </w:rPr>
              <w:t>+</w:t>
            </w:r>
            <w:r w:rsidR="00076664">
              <w:rPr>
                <w:sz w:val="20"/>
                <w:szCs w:val="20"/>
              </w:rPr>
              <w:t>2.5</w:t>
            </w:r>
          </w:p>
          <w:p w14:paraId="70EAF40E" w14:textId="0143385C" w:rsidR="00076664" w:rsidRDefault="00076664" w:rsidP="004B5F4B">
            <w:pPr>
              <w:pStyle w:val="Numbered"/>
              <w:numPr>
                <w:ilvl w:val="0"/>
                <w:numId w:val="0"/>
              </w:numPr>
              <w:spacing w:before="0" w:after="120"/>
              <w:rPr>
                <w:sz w:val="20"/>
                <w:szCs w:val="20"/>
              </w:rPr>
            </w:pPr>
            <w:r>
              <w:rPr>
                <w:sz w:val="20"/>
                <w:szCs w:val="20"/>
              </w:rPr>
              <w:t>Clear, but flexible</w:t>
            </w:r>
            <w:r w:rsidR="00531897" w:rsidRPr="00BF469B">
              <w:rPr>
                <w:sz w:val="20"/>
                <w:szCs w:val="20"/>
              </w:rPr>
              <w:t xml:space="preserve"> purpose </w:t>
            </w:r>
            <w:r>
              <w:rPr>
                <w:sz w:val="20"/>
                <w:szCs w:val="20"/>
              </w:rPr>
              <w:t xml:space="preserve">should be highly durable. </w:t>
            </w:r>
          </w:p>
          <w:p w14:paraId="54A8CBF3" w14:textId="47163B95" w:rsidR="00531897" w:rsidRPr="00BF469B" w:rsidRDefault="00076664" w:rsidP="004B5F4B">
            <w:pPr>
              <w:pStyle w:val="Numbered"/>
              <w:numPr>
                <w:ilvl w:val="0"/>
                <w:numId w:val="0"/>
              </w:numPr>
              <w:spacing w:before="0" w:after="120"/>
              <w:rPr>
                <w:b/>
                <w:bCs/>
                <w:sz w:val="20"/>
                <w:szCs w:val="20"/>
              </w:rPr>
            </w:pPr>
            <w:r>
              <w:rPr>
                <w:sz w:val="20"/>
                <w:szCs w:val="20"/>
              </w:rPr>
              <w:t xml:space="preserve">Specific good faith provision targets conduct of designated retailer and should be adaptable </w:t>
            </w:r>
            <w:r w:rsidR="00531897" w:rsidRPr="00BF469B">
              <w:rPr>
                <w:sz w:val="20"/>
                <w:szCs w:val="20"/>
              </w:rPr>
              <w:t xml:space="preserve">over time. </w:t>
            </w:r>
          </w:p>
        </w:tc>
        <w:tc>
          <w:tcPr>
            <w:tcW w:w="2976" w:type="dxa"/>
            <w:shd w:val="clear" w:color="auto" w:fill="D9D9D9" w:themeFill="background1" w:themeFillShade="D9"/>
          </w:tcPr>
          <w:p w14:paraId="6AA514CC" w14:textId="3AF8A519" w:rsidR="00531897" w:rsidRPr="00BF469B" w:rsidRDefault="00531897" w:rsidP="005509A4">
            <w:pPr>
              <w:pStyle w:val="Numbered"/>
              <w:numPr>
                <w:ilvl w:val="0"/>
                <w:numId w:val="0"/>
              </w:numPr>
              <w:spacing w:before="0"/>
              <w:rPr>
                <w:sz w:val="20"/>
                <w:szCs w:val="20"/>
              </w:rPr>
            </w:pPr>
            <w:r w:rsidRPr="00BF469B">
              <w:rPr>
                <w:sz w:val="20"/>
                <w:szCs w:val="20"/>
              </w:rPr>
              <w:t>+</w:t>
            </w:r>
            <w:r w:rsidR="00076664">
              <w:rPr>
                <w:sz w:val="20"/>
                <w:szCs w:val="20"/>
              </w:rPr>
              <w:t>1.5</w:t>
            </w:r>
          </w:p>
          <w:p w14:paraId="5D9FF796" w14:textId="4FBBD540" w:rsidR="00E55D72" w:rsidRDefault="00E55D72" w:rsidP="004B5F4B">
            <w:pPr>
              <w:pStyle w:val="Numbered"/>
              <w:numPr>
                <w:ilvl w:val="0"/>
                <w:numId w:val="0"/>
              </w:numPr>
              <w:spacing w:before="0" w:after="120"/>
              <w:rPr>
                <w:sz w:val="20"/>
                <w:szCs w:val="20"/>
              </w:rPr>
            </w:pPr>
            <w:r>
              <w:rPr>
                <w:sz w:val="20"/>
                <w:szCs w:val="20"/>
              </w:rPr>
              <w:t>Clear, targeted, purpose is relatively durable over time.</w:t>
            </w:r>
            <w:r w:rsidR="00076664">
              <w:rPr>
                <w:sz w:val="20"/>
                <w:szCs w:val="20"/>
              </w:rPr>
              <w:t xml:space="preserve"> Small risk of new issues arising that are out of scope of purpose</w:t>
            </w:r>
            <w:r>
              <w:rPr>
                <w:sz w:val="20"/>
                <w:szCs w:val="20"/>
              </w:rPr>
              <w:t xml:space="preserve"> </w:t>
            </w:r>
          </w:p>
          <w:p w14:paraId="5A1BC90C" w14:textId="4BA8C027" w:rsidR="00531897" w:rsidRPr="00BF469B" w:rsidRDefault="00076664" w:rsidP="005509A4">
            <w:pPr>
              <w:pStyle w:val="Numbered"/>
              <w:numPr>
                <w:ilvl w:val="0"/>
                <w:numId w:val="0"/>
              </w:numPr>
              <w:spacing w:before="0"/>
              <w:rPr>
                <w:b/>
                <w:bCs/>
                <w:sz w:val="20"/>
                <w:szCs w:val="20"/>
              </w:rPr>
            </w:pPr>
            <w:r>
              <w:rPr>
                <w:sz w:val="20"/>
                <w:szCs w:val="20"/>
              </w:rPr>
              <w:t>G</w:t>
            </w:r>
            <w:r w:rsidR="00531897" w:rsidRPr="00BF469B">
              <w:rPr>
                <w:sz w:val="20"/>
                <w:szCs w:val="20"/>
              </w:rPr>
              <w:t xml:space="preserve">ood faith </w:t>
            </w:r>
            <w:r>
              <w:rPr>
                <w:sz w:val="20"/>
                <w:szCs w:val="20"/>
              </w:rPr>
              <w:t>provision is relatively durable because it stops discrimination between different suppliers</w:t>
            </w:r>
            <w:r w:rsidR="00531897" w:rsidRPr="00BF469B">
              <w:rPr>
                <w:sz w:val="20"/>
                <w:szCs w:val="20"/>
              </w:rPr>
              <w:t>.</w:t>
            </w:r>
          </w:p>
        </w:tc>
        <w:tc>
          <w:tcPr>
            <w:tcW w:w="3148" w:type="dxa"/>
            <w:shd w:val="clear" w:color="auto" w:fill="D9D9D9" w:themeFill="background1" w:themeFillShade="D9"/>
          </w:tcPr>
          <w:p w14:paraId="76FCC39F" w14:textId="23E07BF9" w:rsidR="00531897" w:rsidRPr="00BF469B" w:rsidRDefault="00531897" w:rsidP="005509A4">
            <w:pPr>
              <w:pStyle w:val="Numbered"/>
              <w:numPr>
                <w:ilvl w:val="0"/>
                <w:numId w:val="0"/>
              </w:numPr>
              <w:spacing w:before="0"/>
              <w:rPr>
                <w:sz w:val="20"/>
                <w:szCs w:val="20"/>
              </w:rPr>
            </w:pPr>
            <w:r w:rsidRPr="00BF469B">
              <w:rPr>
                <w:sz w:val="20"/>
                <w:szCs w:val="20"/>
              </w:rPr>
              <w:t>+</w:t>
            </w:r>
            <w:r w:rsidR="008766CC">
              <w:rPr>
                <w:sz w:val="20"/>
                <w:szCs w:val="20"/>
              </w:rPr>
              <w:t>2</w:t>
            </w:r>
          </w:p>
          <w:p w14:paraId="2E919F10" w14:textId="5B01AAD1" w:rsidR="008766CC" w:rsidRDefault="008766CC" w:rsidP="004B5F4B">
            <w:pPr>
              <w:pStyle w:val="Numbered"/>
              <w:numPr>
                <w:ilvl w:val="0"/>
                <w:numId w:val="0"/>
              </w:numPr>
              <w:spacing w:before="0" w:after="120"/>
              <w:rPr>
                <w:sz w:val="20"/>
                <w:szCs w:val="20"/>
              </w:rPr>
            </w:pPr>
            <w:r>
              <w:rPr>
                <w:sz w:val="20"/>
                <w:szCs w:val="20"/>
              </w:rPr>
              <w:t xml:space="preserve">Broader scope (of purpose) </w:t>
            </w:r>
            <w:r w:rsidR="00076664">
              <w:rPr>
                <w:sz w:val="20"/>
                <w:szCs w:val="20"/>
              </w:rPr>
              <w:t>is both positive and negative. It should be durable but may raise demands for Code to address broader economic development considerations.</w:t>
            </w:r>
          </w:p>
          <w:p w14:paraId="59E9AB0A" w14:textId="520BAB3E" w:rsidR="00531897" w:rsidRPr="00BF469B" w:rsidRDefault="008766CC" w:rsidP="004B5F4B">
            <w:pPr>
              <w:pStyle w:val="Numbered"/>
              <w:numPr>
                <w:ilvl w:val="0"/>
                <w:numId w:val="0"/>
              </w:numPr>
              <w:spacing w:before="0" w:after="120"/>
              <w:rPr>
                <w:b/>
                <w:bCs/>
                <w:sz w:val="20"/>
                <w:szCs w:val="20"/>
              </w:rPr>
            </w:pPr>
            <w:r>
              <w:rPr>
                <w:sz w:val="20"/>
                <w:szCs w:val="20"/>
              </w:rPr>
              <w:t xml:space="preserve">Stronger good faith and fair dealing </w:t>
            </w:r>
            <w:r w:rsidR="00531897" w:rsidRPr="00BF469B">
              <w:rPr>
                <w:sz w:val="20"/>
                <w:szCs w:val="20"/>
              </w:rPr>
              <w:t xml:space="preserve">obligations </w:t>
            </w:r>
            <w:r w:rsidR="00076664">
              <w:rPr>
                <w:sz w:val="20"/>
                <w:szCs w:val="20"/>
              </w:rPr>
              <w:t>should be durable, and any risks of considering substantive manners are managed.</w:t>
            </w:r>
          </w:p>
        </w:tc>
      </w:tr>
      <w:tr w:rsidR="00531897" w:rsidRPr="00D17979" w14:paraId="768DCAEC" w14:textId="77777777" w:rsidTr="00107398">
        <w:tc>
          <w:tcPr>
            <w:tcW w:w="1011" w:type="dxa"/>
            <w:shd w:val="clear" w:color="auto" w:fill="D9D9D9" w:themeFill="background1" w:themeFillShade="D9"/>
          </w:tcPr>
          <w:p w14:paraId="41138DB3" w14:textId="77777777" w:rsidR="00531897" w:rsidRPr="005239EF" w:rsidRDefault="00531897" w:rsidP="005509A4">
            <w:pPr>
              <w:pStyle w:val="Numbered"/>
              <w:numPr>
                <w:ilvl w:val="0"/>
                <w:numId w:val="0"/>
              </w:numPr>
              <w:spacing w:before="0"/>
              <w:rPr>
                <w:b/>
                <w:bCs/>
              </w:rPr>
            </w:pPr>
            <w:r>
              <w:rPr>
                <w:b/>
                <w:bCs/>
              </w:rPr>
              <w:t>Overall</w:t>
            </w:r>
          </w:p>
        </w:tc>
        <w:tc>
          <w:tcPr>
            <w:tcW w:w="2250" w:type="dxa"/>
            <w:shd w:val="clear" w:color="auto" w:fill="D9D9D9" w:themeFill="background1" w:themeFillShade="D9"/>
          </w:tcPr>
          <w:p w14:paraId="262FDAC7" w14:textId="4B7A0C73" w:rsidR="00531897" w:rsidRPr="00C33B9C" w:rsidRDefault="00531897" w:rsidP="005509A4">
            <w:pPr>
              <w:pStyle w:val="Numbered"/>
              <w:numPr>
                <w:ilvl w:val="0"/>
                <w:numId w:val="0"/>
              </w:numPr>
              <w:spacing w:before="0"/>
              <w:rPr>
                <w:sz w:val="20"/>
                <w:szCs w:val="20"/>
              </w:rPr>
            </w:pPr>
            <w:r w:rsidRPr="00C33B9C">
              <w:rPr>
                <w:sz w:val="20"/>
                <w:szCs w:val="20"/>
              </w:rPr>
              <w:t>+2</w:t>
            </w:r>
            <w:r w:rsidR="004F4AEF">
              <w:rPr>
                <w:sz w:val="20"/>
                <w:szCs w:val="20"/>
              </w:rPr>
              <w:t>.5</w:t>
            </w:r>
          </w:p>
        </w:tc>
        <w:tc>
          <w:tcPr>
            <w:tcW w:w="2976" w:type="dxa"/>
            <w:shd w:val="clear" w:color="auto" w:fill="D9D9D9" w:themeFill="background1" w:themeFillShade="D9"/>
          </w:tcPr>
          <w:p w14:paraId="14E8DA77" w14:textId="3B83A5EA" w:rsidR="00531897" w:rsidRPr="00C33B9C" w:rsidRDefault="00531897" w:rsidP="005509A4">
            <w:pPr>
              <w:pStyle w:val="Numbered"/>
              <w:numPr>
                <w:ilvl w:val="0"/>
                <w:numId w:val="0"/>
              </w:numPr>
              <w:spacing w:before="0"/>
              <w:rPr>
                <w:sz w:val="20"/>
                <w:szCs w:val="20"/>
              </w:rPr>
            </w:pPr>
            <w:r>
              <w:rPr>
                <w:sz w:val="20"/>
                <w:szCs w:val="20"/>
              </w:rPr>
              <w:t>+</w:t>
            </w:r>
            <w:r w:rsidR="004F4AEF">
              <w:rPr>
                <w:sz w:val="20"/>
                <w:szCs w:val="20"/>
              </w:rPr>
              <w:t>2</w:t>
            </w:r>
          </w:p>
        </w:tc>
        <w:tc>
          <w:tcPr>
            <w:tcW w:w="3148" w:type="dxa"/>
            <w:shd w:val="clear" w:color="auto" w:fill="D9D9D9" w:themeFill="background1" w:themeFillShade="D9"/>
          </w:tcPr>
          <w:p w14:paraId="4411B65C" w14:textId="3EEA8ED9" w:rsidR="00531897" w:rsidRPr="00C33B9C" w:rsidRDefault="008766CC" w:rsidP="005509A4">
            <w:pPr>
              <w:pStyle w:val="Numbered"/>
              <w:numPr>
                <w:ilvl w:val="0"/>
                <w:numId w:val="0"/>
              </w:numPr>
              <w:spacing w:before="0"/>
              <w:rPr>
                <w:sz w:val="20"/>
                <w:szCs w:val="20"/>
              </w:rPr>
            </w:pPr>
            <w:r>
              <w:rPr>
                <w:sz w:val="20"/>
                <w:szCs w:val="20"/>
              </w:rPr>
              <w:t>+</w:t>
            </w:r>
            <w:r w:rsidR="00E55D72">
              <w:rPr>
                <w:sz w:val="20"/>
                <w:szCs w:val="20"/>
              </w:rPr>
              <w:t>3</w:t>
            </w:r>
          </w:p>
        </w:tc>
      </w:tr>
    </w:tbl>
    <w:p w14:paraId="2B8DB9CA" w14:textId="2A1365CD" w:rsidR="001E701B" w:rsidRDefault="00B530DC" w:rsidP="00871288">
      <w:pPr>
        <w:pStyle w:val="Heading2"/>
        <w:tabs>
          <w:tab w:val="left" w:pos="567"/>
        </w:tabs>
      </w:pPr>
      <w:bookmarkStart w:id="114" w:name="_Toc104358653"/>
      <w:bookmarkStart w:id="115" w:name="_Toc107919634"/>
      <w:bookmarkEnd w:id="113"/>
      <w:r>
        <w:t>4</w:t>
      </w:r>
      <w:r w:rsidR="00D97DAB">
        <w:t>.</w:t>
      </w:r>
      <w:r w:rsidR="004B3BF1">
        <w:t>5</w:t>
      </w:r>
      <w:r w:rsidR="00871288">
        <w:tab/>
      </w:r>
      <w:r w:rsidR="00F12266">
        <w:t>Consultation questions</w:t>
      </w:r>
      <w:bookmarkEnd w:id="111"/>
      <w:bookmarkEnd w:id="114"/>
      <w:bookmarkEnd w:id="115"/>
    </w:p>
    <w:tbl>
      <w:tblPr>
        <w:tblStyle w:val="TableGrid"/>
        <w:tblW w:w="0" w:type="auto"/>
        <w:tblBorders>
          <w:top w:val="none" w:sz="0" w:space="0" w:color="auto"/>
          <w:left w:val="none" w:sz="0" w:space="0" w:color="auto"/>
          <w:bottom w:val="none" w:sz="0" w:space="0" w:color="auto"/>
          <w:right w:val="none" w:sz="0" w:space="0" w:color="auto"/>
          <w:insideH w:val="single" w:sz="4" w:space="0" w:color="006272"/>
          <w:insideV w:val="none" w:sz="0" w:space="0" w:color="auto"/>
        </w:tblBorders>
        <w:tblCellMar>
          <w:top w:w="57" w:type="dxa"/>
          <w:bottom w:w="57" w:type="dxa"/>
        </w:tblCellMar>
        <w:tblLook w:val="0600" w:firstRow="0" w:lastRow="0" w:firstColumn="0" w:lastColumn="0" w:noHBand="1" w:noVBand="1"/>
      </w:tblPr>
      <w:tblGrid>
        <w:gridCol w:w="531"/>
        <w:gridCol w:w="8539"/>
      </w:tblGrid>
      <w:tr w:rsidR="00613281" w:rsidRPr="00133B22" w14:paraId="7DE0A7C5" w14:textId="77777777" w:rsidTr="00531897">
        <w:trPr>
          <w:cantSplit/>
        </w:trPr>
        <w:tc>
          <w:tcPr>
            <w:tcW w:w="531" w:type="dxa"/>
            <w:shd w:val="clear" w:color="auto" w:fill="006272"/>
            <w:vAlign w:val="center"/>
          </w:tcPr>
          <w:p w14:paraId="400B9028" w14:textId="77777777" w:rsidR="00613281" w:rsidRPr="00096770" w:rsidRDefault="00613281" w:rsidP="00E6697E">
            <w:pPr>
              <w:pStyle w:val="Questionnumber"/>
              <w:rPr>
                <w:color w:val="F2F2F2" w:themeColor="background2" w:themeShade="F2"/>
              </w:rPr>
            </w:pPr>
          </w:p>
        </w:tc>
        <w:tc>
          <w:tcPr>
            <w:tcW w:w="8539" w:type="dxa"/>
            <w:shd w:val="clear" w:color="auto" w:fill="B3D0D5"/>
          </w:tcPr>
          <w:p w14:paraId="16A61E2F" w14:textId="1545BE4E" w:rsidR="00613281" w:rsidRPr="00D76438" w:rsidRDefault="002F080B" w:rsidP="00E6697E">
            <w:pPr>
              <w:pStyle w:val="Question"/>
              <w:spacing w:before="0" w:after="0"/>
            </w:pPr>
            <w:r>
              <w:t xml:space="preserve">In relation to </w:t>
            </w:r>
            <w:r>
              <w:rPr>
                <w:b/>
                <w:bCs/>
              </w:rPr>
              <w:t>4.</w:t>
            </w:r>
            <w:r w:rsidR="004B3BF1">
              <w:rPr>
                <w:b/>
                <w:bCs/>
              </w:rPr>
              <w:t xml:space="preserve">2 </w:t>
            </w:r>
            <w:r>
              <w:rPr>
                <w:b/>
                <w:bCs/>
              </w:rPr>
              <w:t xml:space="preserve">purpose of the Code, </w:t>
            </w:r>
            <w:r>
              <w:t>w</w:t>
            </w:r>
            <w:r w:rsidR="00096770">
              <w:t xml:space="preserve">hich of the </w:t>
            </w:r>
            <w:r w:rsidR="00775816">
              <w:t xml:space="preserve">three </w:t>
            </w:r>
            <w:r w:rsidR="00096770">
              <w:t xml:space="preserve">options </w:t>
            </w:r>
            <w:r w:rsidR="00775816">
              <w:t>do you agree with, and why?</w:t>
            </w:r>
          </w:p>
        </w:tc>
      </w:tr>
      <w:tr w:rsidR="002650DD" w:rsidRPr="00133B22" w14:paraId="5B78DA66" w14:textId="77777777" w:rsidTr="00531897">
        <w:trPr>
          <w:cantSplit/>
        </w:trPr>
        <w:tc>
          <w:tcPr>
            <w:tcW w:w="531" w:type="dxa"/>
            <w:shd w:val="clear" w:color="auto" w:fill="006272"/>
            <w:vAlign w:val="center"/>
          </w:tcPr>
          <w:p w14:paraId="35833662" w14:textId="77777777" w:rsidR="002650DD" w:rsidRPr="00096770" w:rsidRDefault="002650DD" w:rsidP="005509A4">
            <w:pPr>
              <w:pStyle w:val="Questionnumber"/>
              <w:rPr>
                <w:color w:val="F2F2F2" w:themeColor="background2" w:themeShade="F2"/>
              </w:rPr>
            </w:pPr>
          </w:p>
        </w:tc>
        <w:tc>
          <w:tcPr>
            <w:tcW w:w="8539" w:type="dxa"/>
            <w:shd w:val="clear" w:color="auto" w:fill="B3D0D5"/>
          </w:tcPr>
          <w:p w14:paraId="05CA286B" w14:textId="77777777" w:rsidR="002650DD" w:rsidRDefault="002650DD" w:rsidP="002650DD">
            <w:pPr>
              <w:pStyle w:val="Question"/>
              <w:spacing w:before="60" w:after="0"/>
            </w:pPr>
            <w:r>
              <w:t>Do you see any risks if the purpose of the Code was to:</w:t>
            </w:r>
          </w:p>
          <w:p w14:paraId="5C8E522C" w14:textId="62740156" w:rsidR="002650DD" w:rsidRDefault="002650DD" w:rsidP="003F2198">
            <w:pPr>
              <w:pStyle w:val="Question"/>
              <w:numPr>
                <w:ilvl w:val="0"/>
                <w:numId w:val="16"/>
              </w:numPr>
              <w:spacing w:before="0" w:after="0"/>
              <w:rPr>
                <w:lang w:val="en-US"/>
              </w:rPr>
            </w:pPr>
            <w:r>
              <w:rPr>
                <w:lang w:val="en-US"/>
              </w:rPr>
              <w:t xml:space="preserve">address any </w:t>
            </w:r>
            <w:r w:rsidRPr="002F080B">
              <w:rPr>
                <w:lang w:val="en-US"/>
              </w:rPr>
              <w:t xml:space="preserve">impacts </w:t>
            </w:r>
            <w:r>
              <w:rPr>
                <w:lang w:val="en-US"/>
              </w:rPr>
              <w:t xml:space="preserve">of </w:t>
            </w:r>
            <w:r w:rsidRPr="002F080B">
              <w:rPr>
                <w:lang w:val="en-US"/>
              </w:rPr>
              <w:t>the major grocery retailers</w:t>
            </w:r>
            <w:r w:rsidR="00B838A2">
              <w:rPr>
                <w:lang w:val="en-US"/>
              </w:rPr>
              <w:t>’</w:t>
            </w:r>
            <w:r w:rsidRPr="002F080B">
              <w:rPr>
                <w:lang w:val="en-US"/>
              </w:rPr>
              <w:t xml:space="preserve"> trading relationship</w:t>
            </w:r>
            <w:r w:rsidR="00B838A2">
              <w:rPr>
                <w:lang w:val="en-US"/>
              </w:rPr>
              <w:t>s</w:t>
            </w:r>
            <w:r w:rsidRPr="002F080B">
              <w:rPr>
                <w:lang w:val="en-US"/>
              </w:rPr>
              <w:t xml:space="preserve"> with the</w:t>
            </w:r>
            <w:r w:rsidR="00B838A2">
              <w:rPr>
                <w:lang w:val="en-US"/>
              </w:rPr>
              <w:t>ir</w:t>
            </w:r>
            <w:r w:rsidRPr="002F080B">
              <w:rPr>
                <w:lang w:val="en-US"/>
              </w:rPr>
              <w:t xml:space="preserve"> supplier</w:t>
            </w:r>
            <w:r w:rsidR="00B838A2">
              <w:rPr>
                <w:lang w:val="en-US"/>
              </w:rPr>
              <w:t>s</w:t>
            </w:r>
            <w:r w:rsidRPr="002F080B">
              <w:rPr>
                <w:lang w:val="en-US"/>
              </w:rPr>
              <w:t xml:space="preserve"> on other </w:t>
            </w:r>
            <w:r w:rsidR="00B838A2">
              <w:rPr>
                <w:lang w:val="en-US"/>
              </w:rPr>
              <w:t xml:space="preserve">grocery </w:t>
            </w:r>
            <w:r w:rsidRPr="002F080B">
              <w:rPr>
                <w:lang w:val="en-US"/>
              </w:rPr>
              <w:t>retailers</w:t>
            </w:r>
            <w:r>
              <w:rPr>
                <w:lang w:val="en-US"/>
              </w:rPr>
              <w:t xml:space="preserve">, or </w:t>
            </w:r>
          </w:p>
          <w:p w14:paraId="5AF35B71" w14:textId="77777777" w:rsidR="002650DD" w:rsidRDefault="002650DD" w:rsidP="003F2198">
            <w:pPr>
              <w:pStyle w:val="Question"/>
              <w:numPr>
                <w:ilvl w:val="0"/>
                <w:numId w:val="16"/>
              </w:numPr>
              <w:spacing w:before="0" w:after="0"/>
              <w:rPr>
                <w:lang w:val="en-US"/>
              </w:rPr>
            </w:pPr>
            <w:r>
              <w:rPr>
                <w:lang w:val="en-US"/>
              </w:rPr>
              <w:t xml:space="preserve">support </w:t>
            </w:r>
            <w:r w:rsidRPr="002F080B">
              <w:rPr>
                <w:lang w:val="en-US"/>
              </w:rPr>
              <w:t>any wholesale supply arrangements</w:t>
            </w:r>
            <w:r>
              <w:rPr>
                <w:lang w:val="en-US"/>
              </w:rPr>
              <w:t>?</w:t>
            </w:r>
          </w:p>
          <w:p w14:paraId="4507E8C0" w14:textId="16755658" w:rsidR="002650DD" w:rsidRPr="005445D7" w:rsidRDefault="002650DD" w:rsidP="005509A4">
            <w:pPr>
              <w:pStyle w:val="Question"/>
              <w:spacing w:before="0" w:after="0"/>
              <w:rPr>
                <w:lang w:val="en-US"/>
              </w:rPr>
            </w:pPr>
            <w:r>
              <w:rPr>
                <w:lang w:val="en-US"/>
              </w:rPr>
              <w:t>If yes, please explain the risks.</w:t>
            </w:r>
          </w:p>
        </w:tc>
      </w:tr>
      <w:tr w:rsidR="0064752E" w:rsidRPr="00133B22" w14:paraId="17F5D0D8" w14:textId="77777777" w:rsidTr="00531897">
        <w:trPr>
          <w:cantSplit/>
        </w:trPr>
        <w:tc>
          <w:tcPr>
            <w:tcW w:w="531" w:type="dxa"/>
            <w:shd w:val="clear" w:color="auto" w:fill="006272"/>
            <w:vAlign w:val="center"/>
          </w:tcPr>
          <w:p w14:paraId="4BD90B0B" w14:textId="77777777" w:rsidR="0064752E" w:rsidRPr="00096770" w:rsidRDefault="0064752E" w:rsidP="00E6697E">
            <w:pPr>
              <w:pStyle w:val="Questionnumber"/>
              <w:rPr>
                <w:color w:val="F2F2F2" w:themeColor="background2" w:themeShade="F2"/>
              </w:rPr>
            </w:pPr>
          </w:p>
        </w:tc>
        <w:tc>
          <w:tcPr>
            <w:tcW w:w="8539" w:type="dxa"/>
            <w:shd w:val="clear" w:color="auto" w:fill="B3D0D5"/>
          </w:tcPr>
          <w:p w14:paraId="60898D12" w14:textId="0415A9FF" w:rsidR="0064752E" w:rsidRDefault="007D04F9" w:rsidP="00E6697E">
            <w:pPr>
              <w:pStyle w:val="Question"/>
              <w:spacing w:before="0" w:after="0"/>
            </w:pPr>
            <w:r>
              <w:t xml:space="preserve">In relation to </w:t>
            </w:r>
            <w:r w:rsidR="002F080B" w:rsidRPr="005445D7">
              <w:rPr>
                <w:b/>
                <w:bCs/>
              </w:rPr>
              <w:t>4.</w:t>
            </w:r>
            <w:r w:rsidR="004B3BF1">
              <w:rPr>
                <w:b/>
                <w:bCs/>
              </w:rPr>
              <w:t>3</w:t>
            </w:r>
            <w:r w:rsidR="002F080B">
              <w:t xml:space="preserve"> </w:t>
            </w:r>
            <w:r w:rsidRPr="005445D7">
              <w:rPr>
                <w:b/>
                <w:bCs/>
              </w:rPr>
              <w:t>overarching obligations</w:t>
            </w:r>
            <w:r>
              <w:t xml:space="preserve">, </w:t>
            </w:r>
            <w:r w:rsidR="00F04B38">
              <w:t>which of the three options do you agree with, and why?</w:t>
            </w:r>
          </w:p>
        </w:tc>
      </w:tr>
      <w:tr w:rsidR="00124725" w:rsidRPr="00133B22" w14:paraId="0BC2717D" w14:textId="77777777" w:rsidTr="00531897">
        <w:trPr>
          <w:cantSplit/>
        </w:trPr>
        <w:tc>
          <w:tcPr>
            <w:tcW w:w="531" w:type="dxa"/>
            <w:shd w:val="clear" w:color="auto" w:fill="006272"/>
            <w:vAlign w:val="center"/>
          </w:tcPr>
          <w:p w14:paraId="37B2CD5A" w14:textId="77777777" w:rsidR="00124725" w:rsidRPr="00096770" w:rsidRDefault="00124725" w:rsidP="00E6697E">
            <w:pPr>
              <w:pStyle w:val="Questionnumber"/>
              <w:rPr>
                <w:color w:val="FFFFFF" w:themeColor="background2"/>
              </w:rPr>
            </w:pPr>
          </w:p>
        </w:tc>
        <w:tc>
          <w:tcPr>
            <w:tcW w:w="8539" w:type="dxa"/>
            <w:shd w:val="clear" w:color="auto" w:fill="B3D0D5"/>
          </w:tcPr>
          <w:p w14:paraId="617CCC9C" w14:textId="7C6561C7" w:rsidR="00E32458" w:rsidRDefault="00775816" w:rsidP="00E6697E">
            <w:pPr>
              <w:pStyle w:val="Question"/>
              <w:spacing w:before="0" w:after="0"/>
            </w:pPr>
            <w:r>
              <w:t xml:space="preserve">Do you have any </w:t>
            </w:r>
            <w:r w:rsidR="002F080B">
              <w:t xml:space="preserve">views on </w:t>
            </w:r>
            <w:r>
              <w:t>how to i</w:t>
            </w:r>
            <w:r w:rsidR="00E32458">
              <w:t>ncorporat</w:t>
            </w:r>
            <w:r w:rsidR="00E623B7">
              <w:t>e</w:t>
            </w:r>
            <w:r w:rsidR="00E32458">
              <w:t xml:space="preserve"> tikanga </w:t>
            </w:r>
            <w:r w:rsidR="00E32458">
              <w:rPr>
                <w:lang w:val="mi-NZ"/>
              </w:rPr>
              <w:t xml:space="preserve">Māori </w:t>
            </w:r>
            <w:r w:rsidR="00E32458">
              <w:t xml:space="preserve">or Te Ao </w:t>
            </w:r>
            <w:r w:rsidR="00E32458">
              <w:rPr>
                <w:lang w:val="mi-NZ"/>
              </w:rPr>
              <w:t xml:space="preserve">Māori </w:t>
            </w:r>
            <w:r w:rsidR="00E32458">
              <w:t xml:space="preserve">in the </w:t>
            </w:r>
            <w:r>
              <w:t>Code</w:t>
            </w:r>
            <w:r w:rsidR="00E32458" w:rsidRPr="00775816">
              <w:rPr>
                <w:lang w:val="mi-NZ"/>
              </w:rPr>
              <w:t>?</w:t>
            </w:r>
          </w:p>
        </w:tc>
      </w:tr>
      <w:tr w:rsidR="008215C4" w:rsidRPr="00133B22" w14:paraId="49BD1704" w14:textId="77777777" w:rsidTr="00531897">
        <w:trPr>
          <w:cantSplit/>
        </w:trPr>
        <w:tc>
          <w:tcPr>
            <w:tcW w:w="531" w:type="dxa"/>
            <w:shd w:val="clear" w:color="auto" w:fill="006272"/>
            <w:vAlign w:val="center"/>
          </w:tcPr>
          <w:p w14:paraId="6AF92AB9" w14:textId="77777777" w:rsidR="008215C4" w:rsidRPr="00096770" w:rsidRDefault="008215C4" w:rsidP="00E6697E">
            <w:pPr>
              <w:pStyle w:val="Questionnumber"/>
              <w:rPr>
                <w:color w:val="FFFFFF" w:themeColor="background2"/>
              </w:rPr>
            </w:pPr>
          </w:p>
        </w:tc>
        <w:tc>
          <w:tcPr>
            <w:tcW w:w="8539" w:type="dxa"/>
            <w:shd w:val="clear" w:color="auto" w:fill="B3D0D5"/>
          </w:tcPr>
          <w:p w14:paraId="73E8EC45" w14:textId="2B782023" w:rsidR="008215C4" w:rsidRDefault="005663A0" w:rsidP="00E6697E">
            <w:pPr>
              <w:pStyle w:val="Question"/>
              <w:spacing w:before="0" w:after="0"/>
            </w:pPr>
            <w:r>
              <w:rPr>
                <w:lang w:val="en-US"/>
              </w:rPr>
              <w:t>H</w:t>
            </w:r>
            <w:r w:rsidR="008215C4">
              <w:rPr>
                <w:lang w:val="en-US"/>
              </w:rPr>
              <w:t>ow can the Code best incorporate economic development objectives</w:t>
            </w:r>
            <w:r w:rsidR="00F04B38">
              <w:rPr>
                <w:lang w:val="en-US"/>
              </w:rPr>
              <w:t>, including those of Māori</w:t>
            </w:r>
            <w:r w:rsidR="008215C4">
              <w:rPr>
                <w:lang w:val="en-US"/>
              </w:rPr>
              <w:t>?</w:t>
            </w:r>
          </w:p>
        </w:tc>
      </w:tr>
      <w:tr w:rsidR="00531897" w:rsidRPr="00133B22" w14:paraId="30689113" w14:textId="77777777" w:rsidTr="00531897">
        <w:trPr>
          <w:cantSplit/>
          <w:trHeight w:val="286"/>
        </w:trPr>
        <w:tc>
          <w:tcPr>
            <w:tcW w:w="531" w:type="dxa"/>
            <w:shd w:val="clear" w:color="auto" w:fill="006272"/>
            <w:vAlign w:val="center"/>
          </w:tcPr>
          <w:p w14:paraId="29A016E2" w14:textId="77777777" w:rsidR="00531897" w:rsidRPr="00133B22" w:rsidRDefault="00531897" w:rsidP="005509A4">
            <w:pPr>
              <w:pStyle w:val="Questionnumber"/>
            </w:pPr>
          </w:p>
        </w:tc>
        <w:tc>
          <w:tcPr>
            <w:tcW w:w="8539" w:type="dxa"/>
            <w:shd w:val="clear" w:color="auto" w:fill="B3D0D5"/>
          </w:tcPr>
          <w:p w14:paraId="7D9AA2E8" w14:textId="74725F60" w:rsidR="00531897" w:rsidRPr="00531897" w:rsidRDefault="00531897" w:rsidP="005509A4">
            <w:pPr>
              <w:pStyle w:val="Numbered"/>
              <w:numPr>
                <w:ilvl w:val="0"/>
                <w:numId w:val="0"/>
              </w:numPr>
              <w:spacing w:before="0"/>
            </w:pPr>
            <w:r>
              <w:t xml:space="preserve">Do you have any comments on the preliminary assessment of the options against the criteria in </w:t>
            </w:r>
            <w:r>
              <w:rPr>
                <w:b/>
                <w:bCs/>
              </w:rPr>
              <w:t>Chapter 4</w:t>
            </w:r>
            <w:r w:rsidRPr="00531897">
              <w:t>?</w:t>
            </w:r>
          </w:p>
        </w:tc>
      </w:tr>
      <w:bookmarkEnd w:id="71"/>
    </w:tbl>
    <w:p w14:paraId="2E912156" w14:textId="77777777" w:rsidR="00613281" w:rsidRDefault="00613281" w:rsidP="00613281">
      <w:r>
        <w:br w:type="page"/>
      </w:r>
    </w:p>
    <w:p w14:paraId="10B8A1F5" w14:textId="2412E0DA" w:rsidR="00613281" w:rsidRDefault="00106485" w:rsidP="00613281">
      <w:pPr>
        <w:pStyle w:val="Heading1"/>
      </w:pPr>
      <w:bookmarkStart w:id="116" w:name="_Toc103173693"/>
      <w:bookmarkStart w:id="117" w:name="_Toc104358654"/>
      <w:bookmarkStart w:id="118" w:name="_Toc107919635"/>
      <w:bookmarkStart w:id="119" w:name="_Hlk100312054"/>
      <w:bookmarkEnd w:id="72"/>
      <w:r>
        <w:lastRenderedPageBreak/>
        <w:t>Requirement</w:t>
      </w:r>
      <w:r w:rsidR="00266933">
        <w:t>s</w:t>
      </w:r>
      <w:r>
        <w:t xml:space="preserve"> for supply agreements</w:t>
      </w:r>
      <w:bookmarkEnd w:id="116"/>
      <w:bookmarkEnd w:id="117"/>
      <w:bookmarkEnd w:id="118"/>
    </w:p>
    <w:p w14:paraId="1629F2F2" w14:textId="77777777" w:rsidR="00613281" w:rsidRDefault="00613281" w:rsidP="00613281">
      <w:pPr>
        <w:pStyle w:val="LineTeal"/>
      </w:pPr>
    </w:p>
    <w:p w14:paraId="11039BD1" w14:textId="350D75C3" w:rsidR="00D44429" w:rsidRDefault="00E8083F" w:rsidP="00871288">
      <w:pPr>
        <w:pStyle w:val="Heading2"/>
        <w:tabs>
          <w:tab w:val="left" w:pos="567"/>
        </w:tabs>
      </w:pPr>
      <w:bookmarkStart w:id="120" w:name="_Toc103173694"/>
      <w:bookmarkStart w:id="121" w:name="_Toc104358655"/>
      <w:bookmarkStart w:id="122" w:name="_Toc107919636"/>
      <w:r>
        <w:t>5.1</w:t>
      </w:r>
      <w:r w:rsidR="00871288">
        <w:tab/>
      </w:r>
      <w:r w:rsidR="00D44429">
        <w:t>Approach to this issue</w:t>
      </w:r>
      <w:bookmarkEnd w:id="120"/>
      <w:bookmarkEnd w:id="121"/>
      <w:bookmarkEnd w:id="122"/>
    </w:p>
    <w:p w14:paraId="634709D4" w14:textId="0AFF4346" w:rsidR="00AF16B2" w:rsidRPr="003B6A8A" w:rsidRDefault="00D44429" w:rsidP="00AF16B2">
      <w:pPr>
        <w:pStyle w:val="Numbered"/>
      </w:pPr>
      <w:r w:rsidRPr="00985E92">
        <w:t xml:space="preserve">Grocery supply agreements </w:t>
      </w:r>
      <w:r w:rsidR="00B838A2">
        <w:t>set out</w:t>
      </w:r>
      <w:r w:rsidR="00B838A2" w:rsidRPr="00985E92">
        <w:t xml:space="preserve"> the terms and conditions of the trading relationship</w:t>
      </w:r>
      <w:r w:rsidR="00B838A2">
        <w:t>s</w:t>
      </w:r>
      <w:r w:rsidR="00B838A2" w:rsidRPr="00985E92">
        <w:t xml:space="preserve"> </w:t>
      </w:r>
      <w:r w:rsidRPr="00985E92">
        <w:t xml:space="preserve">between retailers and </w:t>
      </w:r>
      <w:r w:rsidR="00B838A2">
        <w:t xml:space="preserve">their </w:t>
      </w:r>
      <w:r w:rsidRPr="00985E92">
        <w:t>suppliers. The negotiating power that</w:t>
      </w:r>
      <w:r w:rsidR="00706C67">
        <w:t xml:space="preserve"> </w:t>
      </w:r>
      <w:r w:rsidR="00B838A2">
        <w:t xml:space="preserve">the </w:t>
      </w:r>
      <w:r w:rsidR="00293532">
        <w:t>designated</w:t>
      </w:r>
      <w:r w:rsidRPr="00985E92">
        <w:t xml:space="preserve"> retailers have over suppliers </w:t>
      </w:r>
      <w:r w:rsidR="00706C67">
        <w:t xml:space="preserve">may </w:t>
      </w:r>
      <w:r w:rsidR="00E06FBB">
        <w:t xml:space="preserve">influence the terms </w:t>
      </w:r>
      <w:r w:rsidR="00BA4BAE">
        <w:t>and conditions in</w:t>
      </w:r>
      <w:r w:rsidR="00E06FBB">
        <w:t xml:space="preserve"> </w:t>
      </w:r>
      <w:r w:rsidRPr="00985E92">
        <w:t>supply agreements</w:t>
      </w:r>
      <w:r w:rsidR="00AF16B2">
        <w:t xml:space="preserve">. </w:t>
      </w:r>
      <w:r w:rsidR="00AF16B2" w:rsidRPr="003B6A8A">
        <w:t xml:space="preserve">In relation to </w:t>
      </w:r>
      <w:r w:rsidR="00AF16B2">
        <w:t>supply agreements</w:t>
      </w:r>
      <w:r w:rsidR="00AF16B2" w:rsidRPr="003B6A8A">
        <w:t>, the Code should:</w:t>
      </w:r>
    </w:p>
    <w:p w14:paraId="3750E2CE" w14:textId="2DADB21E" w:rsidR="00AF16B2" w:rsidRDefault="00BA4BAE" w:rsidP="00AF16B2">
      <w:pPr>
        <w:pStyle w:val="Numbered"/>
        <w:numPr>
          <w:ilvl w:val="1"/>
          <w:numId w:val="1"/>
        </w:numPr>
      </w:pPr>
      <w:r>
        <w:t>p</w:t>
      </w:r>
      <w:r w:rsidR="00AF16B2" w:rsidRPr="003B6A8A">
        <w:t xml:space="preserve">rovide certainty </w:t>
      </w:r>
      <w:r w:rsidR="00AF16B2">
        <w:t xml:space="preserve">and transparency </w:t>
      </w:r>
      <w:r w:rsidR="00293532">
        <w:t xml:space="preserve">in relation to </w:t>
      </w:r>
      <w:r w:rsidR="00AF16B2">
        <w:t xml:space="preserve">the terms </w:t>
      </w:r>
      <w:r>
        <w:t xml:space="preserve">and conditions </w:t>
      </w:r>
      <w:r w:rsidR="00AF16B2">
        <w:t xml:space="preserve">of supply </w:t>
      </w:r>
      <w:r w:rsidR="00AF16B2" w:rsidRPr="003B6A8A">
        <w:t xml:space="preserve">by establishing a range of minimum expectations on </w:t>
      </w:r>
      <w:r w:rsidR="00293532">
        <w:t xml:space="preserve">designated </w:t>
      </w:r>
      <w:r w:rsidR="00AF16B2" w:rsidRPr="003B6A8A">
        <w:t>retailers</w:t>
      </w:r>
    </w:p>
    <w:p w14:paraId="3519DC0B" w14:textId="6AEAE95C" w:rsidR="00AF16B2" w:rsidRDefault="00293532" w:rsidP="00AF16B2">
      <w:pPr>
        <w:pStyle w:val="Numbered"/>
        <w:numPr>
          <w:ilvl w:val="1"/>
          <w:numId w:val="1"/>
        </w:numPr>
      </w:pPr>
      <w:r>
        <w:t>r</w:t>
      </w:r>
      <w:r w:rsidR="00AF16B2">
        <w:t>educe the likelihood that suppliers will face unexpected costs or risks, including by prohibiting or limiting some conduct</w:t>
      </w:r>
      <w:r>
        <w:t xml:space="preserve"> by designated retailer</w:t>
      </w:r>
      <w:r w:rsidR="00AF16B2">
        <w:t>.</w:t>
      </w:r>
      <w:r w:rsidR="00AF16B2" w:rsidRPr="003B6A8A">
        <w:t xml:space="preserve"> </w:t>
      </w:r>
    </w:p>
    <w:p w14:paraId="07B1CD1C" w14:textId="0D4A24A6" w:rsidR="004F6B49" w:rsidRPr="00720FCF" w:rsidRDefault="00706C67" w:rsidP="009A4A34">
      <w:pPr>
        <w:pStyle w:val="Numbered"/>
      </w:pPr>
      <w:r>
        <w:t>T</w:t>
      </w:r>
      <w:r w:rsidR="00720FCF" w:rsidRPr="00720FCF">
        <w:t>his chapter focus</w:t>
      </w:r>
      <w:r w:rsidR="00293532">
        <w:t>es</w:t>
      </w:r>
      <w:r w:rsidR="00720FCF" w:rsidRPr="00720FCF">
        <w:t xml:space="preserve"> on</w:t>
      </w:r>
      <w:r w:rsidR="00293532">
        <w:t xml:space="preserve"> minimum</w:t>
      </w:r>
      <w:r w:rsidR="00720FCF" w:rsidRPr="00720FCF">
        <w:t xml:space="preserve"> </w:t>
      </w:r>
      <w:r w:rsidR="004F6B49">
        <w:t xml:space="preserve">requirements </w:t>
      </w:r>
      <w:r w:rsidR="00E06FBB">
        <w:t xml:space="preserve">for </w:t>
      </w:r>
      <w:r w:rsidR="00293532">
        <w:t xml:space="preserve">grocery </w:t>
      </w:r>
      <w:r w:rsidR="004F6B49">
        <w:t>supply agreements and</w:t>
      </w:r>
      <w:r w:rsidR="00107398">
        <w:t xml:space="preserve"> any</w:t>
      </w:r>
      <w:r w:rsidR="004F6B49">
        <w:t xml:space="preserve"> limit</w:t>
      </w:r>
      <w:r w:rsidR="00E06FBB">
        <w:t>s</w:t>
      </w:r>
      <w:r w:rsidR="004F6B49" w:rsidRPr="004F6B49">
        <w:t xml:space="preserve"> </w:t>
      </w:r>
      <w:r w:rsidR="00E06FBB">
        <w:t xml:space="preserve">to </w:t>
      </w:r>
      <w:r w:rsidR="004F6B49" w:rsidRPr="004F6B49">
        <w:t>retrospective or unilateral variation</w:t>
      </w:r>
      <w:r w:rsidR="00E06FBB">
        <w:t xml:space="preserve">s of supply </w:t>
      </w:r>
      <w:r w:rsidR="004F6B49">
        <w:t xml:space="preserve">agreements. </w:t>
      </w:r>
    </w:p>
    <w:p w14:paraId="08D3C808" w14:textId="5F981730" w:rsidR="00613281" w:rsidRDefault="00CE026C" w:rsidP="00871288">
      <w:pPr>
        <w:pStyle w:val="Heading2"/>
        <w:tabs>
          <w:tab w:val="left" w:pos="567"/>
        </w:tabs>
      </w:pPr>
      <w:bookmarkStart w:id="123" w:name="_Toc103173696"/>
      <w:bookmarkStart w:id="124" w:name="_Toc104358657"/>
      <w:bookmarkStart w:id="125" w:name="_Toc107919637"/>
      <w:r>
        <w:t>5.</w:t>
      </w:r>
      <w:r w:rsidR="00E55D72">
        <w:t>2</w:t>
      </w:r>
      <w:r w:rsidR="00871288">
        <w:tab/>
      </w:r>
      <w:r w:rsidR="0036176D">
        <w:t xml:space="preserve">Requirement </w:t>
      </w:r>
      <w:r w:rsidR="000A55D5">
        <w:t xml:space="preserve">for </w:t>
      </w:r>
      <w:r w:rsidR="0038448D">
        <w:t>supply agreements</w:t>
      </w:r>
      <w:bookmarkEnd w:id="123"/>
      <w:r w:rsidR="0038448D">
        <w:t xml:space="preserve"> </w:t>
      </w:r>
      <w:r w:rsidR="000A55D5">
        <w:t>to be written and contain certain content</w:t>
      </w:r>
      <w:bookmarkEnd w:id="124"/>
      <w:bookmarkEnd w:id="125"/>
      <w:r w:rsidR="000A55D5">
        <w:t xml:space="preserve"> </w:t>
      </w:r>
    </w:p>
    <w:p w14:paraId="049C77FB" w14:textId="07D72963" w:rsidR="00D92B14" w:rsidRDefault="002067E4" w:rsidP="000A55D5">
      <w:pPr>
        <w:pStyle w:val="Numbered"/>
      </w:pPr>
      <w:r>
        <w:t>Grocery s</w:t>
      </w:r>
      <w:r w:rsidR="000A55D5">
        <w:t xml:space="preserve">upply </w:t>
      </w:r>
      <w:r w:rsidR="000A55D5" w:rsidRPr="00C52BA0">
        <w:t>agreements</w:t>
      </w:r>
      <w:r w:rsidR="000A55D5">
        <w:rPr>
          <w:rStyle w:val="FootnoteReference"/>
        </w:rPr>
        <w:footnoteReference w:id="19"/>
      </w:r>
      <w:r w:rsidR="000A55D5" w:rsidRPr="00C52BA0">
        <w:t xml:space="preserve"> </w:t>
      </w:r>
      <w:r w:rsidR="00D92B14">
        <w:t xml:space="preserve">are </w:t>
      </w:r>
      <w:r w:rsidR="00107398">
        <w:t xml:space="preserve">effectively </w:t>
      </w:r>
      <w:r w:rsidR="00D92B14">
        <w:t xml:space="preserve">the </w:t>
      </w:r>
      <w:r w:rsidR="00D92B14" w:rsidRPr="00C52BA0">
        <w:t xml:space="preserve">commercial arrangements </w:t>
      </w:r>
      <w:r w:rsidR="00D92B14">
        <w:t xml:space="preserve">and terms </w:t>
      </w:r>
      <w:r w:rsidR="005B0420">
        <w:t xml:space="preserve">and conditions </w:t>
      </w:r>
      <w:r w:rsidR="00D92B14">
        <w:t xml:space="preserve">of supply </w:t>
      </w:r>
      <w:r w:rsidR="00D92B14" w:rsidRPr="00C52BA0">
        <w:t>between a supplier and retailer</w:t>
      </w:r>
      <w:r w:rsidR="00D92B14">
        <w:t xml:space="preserve">. This section discusses the requirement that supply agreements be written and contain certain minimum content required for </w:t>
      </w:r>
      <w:r>
        <w:t>the</w:t>
      </w:r>
      <w:r w:rsidR="00D92B14">
        <w:t xml:space="preserve"> trading relationship between the supplier and </w:t>
      </w:r>
      <w:r>
        <w:t xml:space="preserve">designated </w:t>
      </w:r>
      <w:r w:rsidR="00D92B14">
        <w:t>retailer, particularly on matters of common dispute.</w:t>
      </w:r>
    </w:p>
    <w:p w14:paraId="35C423EE" w14:textId="5B9AFB9A" w:rsidR="00A269E2" w:rsidRDefault="00D92B14" w:rsidP="00A269E2">
      <w:pPr>
        <w:pStyle w:val="Numbered"/>
      </w:pPr>
      <w:r>
        <w:t xml:space="preserve">The </w:t>
      </w:r>
      <w:r w:rsidRPr="008C2542">
        <w:t>Commission</w:t>
      </w:r>
      <w:r>
        <w:t xml:space="preserve"> recommended that all </w:t>
      </w:r>
      <w:r w:rsidR="002067E4">
        <w:t xml:space="preserve">grocery </w:t>
      </w:r>
      <w:r>
        <w:t xml:space="preserve">supply agreements </w:t>
      </w:r>
      <w:bookmarkStart w:id="126" w:name="_Hlk106654797"/>
      <w:r>
        <w:t>should be writ</w:t>
      </w:r>
      <w:r w:rsidR="004B5F4B">
        <w:t xml:space="preserve">ten in </w:t>
      </w:r>
      <w:r>
        <w:t xml:space="preserve">clear and concise language, </w:t>
      </w:r>
      <w:r w:rsidR="004B5F4B">
        <w:t xml:space="preserve">provided to the supplier, and </w:t>
      </w:r>
      <w:r>
        <w:t xml:space="preserve">kept by the retailer </w:t>
      </w:r>
      <w:r w:rsidR="004B5F4B">
        <w:t xml:space="preserve">for </w:t>
      </w:r>
      <w:r>
        <w:t>as long as the agreement is active and a time afterwards.</w:t>
      </w:r>
      <w:r w:rsidR="00A269E2" w:rsidRPr="00A269E2">
        <w:t xml:space="preserve"> </w:t>
      </w:r>
      <w:r w:rsidR="00A269E2">
        <w:t xml:space="preserve">The Commission also recommended that the following matters must be covered in all supply agreements: </w:t>
      </w:r>
    </w:p>
    <w:p w14:paraId="40A33D53" w14:textId="498B5BBE" w:rsidR="00A269E2" w:rsidRDefault="00BD3036" w:rsidP="00A269E2">
      <w:pPr>
        <w:pStyle w:val="Numbered"/>
        <w:numPr>
          <w:ilvl w:val="1"/>
          <w:numId w:val="1"/>
        </w:numPr>
      </w:pPr>
      <w:r>
        <w:t>a</w:t>
      </w:r>
      <w:r w:rsidR="00A269E2">
        <w:t>ny quantity standards (such as minimum supply volumes)</w:t>
      </w:r>
    </w:p>
    <w:p w14:paraId="51746727" w14:textId="2041151B" w:rsidR="00A269E2" w:rsidRDefault="00BD3036" w:rsidP="00A269E2">
      <w:pPr>
        <w:pStyle w:val="Numbered"/>
        <w:numPr>
          <w:ilvl w:val="1"/>
          <w:numId w:val="1"/>
        </w:numPr>
      </w:pPr>
      <w:r>
        <w:t>a</w:t>
      </w:r>
      <w:r w:rsidR="00A269E2">
        <w:t>ny quality standards</w:t>
      </w:r>
    </w:p>
    <w:p w14:paraId="79A62060" w14:textId="77777777" w:rsidR="00A269E2" w:rsidRDefault="00A269E2" w:rsidP="00A269E2">
      <w:pPr>
        <w:pStyle w:val="Numbered"/>
        <w:numPr>
          <w:ilvl w:val="1"/>
          <w:numId w:val="1"/>
        </w:numPr>
      </w:pPr>
      <w:r>
        <w:t>any delivery requirements set by the retailer</w:t>
      </w:r>
    </w:p>
    <w:p w14:paraId="75350193" w14:textId="77777777" w:rsidR="00A269E2" w:rsidRDefault="00A269E2" w:rsidP="00A269E2">
      <w:pPr>
        <w:pStyle w:val="Numbered"/>
        <w:numPr>
          <w:ilvl w:val="1"/>
          <w:numId w:val="1"/>
        </w:numPr>
      </w:pPr>
      <w:r>
        <w:t>when groceries may be rejected</w:t>
      </w:r>
    </w:p>
    <w:p w14:paraId="0D8A6A9A" w14:textId="7BD37D48" w:rsidR="00A269E2" w:rsidRDefault="00A269E2" w:rsidP="00A269E2">
      <w:pPr>
        <w:pStyle w:val="Numbered"/>
        <w:numPr>
          <w:ilvl w:val="1"/>
          <w:numId w:val="1"/>
        </w:numPr>
      </w:pPr>
      <w:r>
        <w:t>the maximum period for payment</w:t>
      </w:r>
    </w:p>
    <w:p w14:paraId="122855B6" w14:textId="232B8ECF" w:rsidR="00A269E2" w:rsidRDefault="00A269E2" w:rsidP="00A269E2">
      <w:pPr>
        <w:pStyle w:val="Numbered"/>
        <w:numPr>
          <w:ilvl w:val="1"/>
          <w:numId w:val="1"/>
        </w:numPr>
      </w:pPr>
      <w:r>
        <w:t>circumstances when payment may be withheld, or deductions made</w:t>
      </w:r>
      <w:r w:rsidRPr="00870AC1">
        <w:t>.</w:t>
      </w:r>
    </w:p>
    <w:p w14:paraId="557E285C" w14:textId="67806001" w:rsidR="004D687A" w:rsidRDefault="00E26091" w:rsidP="004D687A">
      <w:pPr>
        <w:pStyle w:val="Numbered"/>
      </w:pPr>
      <w:bookmarkStart w:id="127" w:name="_Hlk100773686"/>
      <w:bookmarkEnd w:id="126"/>
      <w:r>
        <w:lastRenderedPageBreak/>
        <w:t xml:space="preserve">This </w:t>
      </w:r>
      <w:r w:rsidRPr="008C2542">
        <w:t>recommendation</w:t>
      </w:r>
      <w:r>
        <w:t xml:space="preserve"> is close to the requirements in Australia</w:t>
      </w:r>
      <w:r w:rsidR="00A269E2">
        <w:t>, and somewhat aligned with the UK</w:t>
      </w:r>
      <w:r w:rsidR="00BD3036">
        <w:t>, as shown in the</w:t>
      </w:r>
      <w:r>
        <w:t xml:space="preserve"> </w:t>
      </w:r>
      <w:r w:rsidR="00954F76">
        <w:t>table</w:t>
      </w:r>
      <w:r>
        <w:t>.</w:t>
      </w:r>
    </w:p>
    <w:tbl>
      <w:tblPr>
        <w:tblStyle w:val="TableGrid"/>
        <w:tblW w:w="8964"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Look w:val="04A0" w:firstRow="1" w:lastRow="0" w:firstColumn="1" w:lastColumn="0" w:noHBand="0" w:noVBand="1"/>
      </w:tblPr>
      <w:tblGrid>
        <w:gridCol w:w="1701"/>
        <w:gridCol w:w="3261"/>
        <w:gridCol w:w="4002"/>
      </w:tblGrid>
      <w:tr w:rsidR="00954F76" w14:paraId="5A7451C1" w14:textId="77777777" w:rsidTr="00AC02D1">
        <w:trPr>
          <w:cantSplit/>
          <w:trHeight w:val="166"/>
        </w:trPr>
        <w:tc>
          <w:tcPr>
            <w:tcW w:w="949" w:type="pct"/>
            <w:tcBorders>
              <w:top w:val="nil"/>
              <w:left w:val="nil"/>
            </w:tcBorders>
            <w:shd w:val="clear" w:color="auto" w:fill="auto"/>
          </w:tcPr>
          <w:p w14:paraId="2CDB714F" w14:textId="77777777" w:rsidR="00954F76" w:rsidRPr="00DA280F" w:rsidRDefault="00954F76" w:rsidP="004B011C">
            <w:pPr>
              <w:rPr>
                <w:sz w:val="20"/>
                <w:szCs w:val="20"/>
              </w:rPr>
            </w:pPr>
            <w:r>
              <w:br w:type="page"/>
            </w:r>
          </w:p>
        </w:tc>
        <w:tc>
          <w:tcPr>
            <w:tcW w:w="1819" w:type="pct"/>
            <w:shd w:val="clear" w:color="auto" w:fill="D9D9D9" w:themeFill="background1" w:themeFillShade="D9"/>
          </w:tcPr>
          <w:p w14:paraId="7996BDE9" w14:textId="4E6FCAE5" w:rsidR="00954F76" w:rsidRDefault="00954F76" w:rsidP="004B011C">
            <w:pPr>
              <w:jc w:val="center"/>
              <w:rPr>
                <w:b/>
                <w:bCs/>
                <w:sz w:val="20"/>
                <w:szCs w:val="20"/>
              </w:rPr>
            </w:pPr>
            <w:r w:rsidRPr="00A52685">
              <w:rPr>
                <w:b/>
                <w:bCs/>
                <w:sz w:val="20"/>
                <w:szCs w:val="20"/>
              </w:rPr>
              <w:t>UK</w:t>
            </w:r>
            <w:r w:rsidR="00A26EFC">
              <w:rPr>
                <w:b/>
                <w:bCs/>
                <w:sz w:val="20"/>
                <w:szCs w:val="20"/>
              </w:rPr>
              <w:t xml:space="preserve"> Order</w:t>
            </w:r>
          </w:p>
        </w:tc>
        <w:tc>
          <w:tcPr>
            <w:tcW w:w="2232" w:type="pct"/>
            <w:shd w:val="clear" w:color="auto" w:fill="D9D9D9" w:themeFill="background1" w:themeFillShade="D9"/>
          </w:tcPr>
          <w:p w14:paraId="27008829" w14:textId="219BB8E9" w:rsidR="00954F76" w:rsidRDefault="00954F76" w:rsidP="004B011C">
            <w:pPr>
              <w:jc w:val="center"/>
              <w:rPr>
                <w:b/>
                <w:bCs/>
                <w:sz w:val="20"/>
                <w:szCs w:val="20"/>
              </w:rPr>
            </w:pPr>
            <w:r>
              <w:rPr>
                <w:b/>
                <w:bCs/>
                <w:sz w:val="20"/>
                <w:szCs w:val="20"/>
              </w:rPr>
              <w:t>Australia</w:t>
            </w:r>
            <w:r w:rsidR="00A26EFC">
              <w:rPr>
                <w:b/>
                <w:bCs/>
                <w:sz w:val="20"/>
                <w:szCs w:val="20"/>
              </w:rPr>
              <w:t>n Code</w:t>
            </w:r>
          </w:p>
        </w:tc>
      </w:tr>
      <w:tr w:rsidR="00D92B14" w14:paraId="768001B5" w14:textId="77777777" w:rsidTr="00AC02D1">
        <w:trPr>
          <w:cantSplit/>
          <w:trHeight w:val="439"/>
        </w:trPr>
        <w:tc>
          <w:tcPr>
            <w:tcW w:w="949" w:type="pct"/>
            <w:shd w:val="clear" w:color="auto" w:fill="D9D9D9" w:themeFill="background1" w:themeFillShade="D9"/>
          </w:tcPr>
          <w:p w14:paraId="3B71302E" w14:textId="6E0450FA" w:rsidR="00D92B14" w:rsidRPr="00DA280F" w:rsidRDefault="00D92B14" w:rsidP="00954F76">
            <w:pPr>
              <w:jc w:val="right"/>
              <w:rPr>
                <w:sz w:val="20"/>
                <w:szCs w:val="20"/>
              </w:rPr>
            </w:pPr>
            <w:r w:rsidRPr="00DA280F">
              <w:rPr>
                <w:sz w:val="20"/>
                <w:szCs w:val="20"/>
              </w:rPr>
              <w:t>Written agreements</w:t>
            </w:r>
          </w:p>
        </w:tc>
        <w:tc>
          <w:tcPr>
            <w:tcW w:w="1819" w:type="pct"/>
            <w:shd w:val="clear" w:color="auto" w:fill="D9D9D9" w:themeFill="background1" w:themeFillShade="D9"/>
          </w:tcPr>
          <w:p w14:paraId="0052311A" w14:textId="7F4B8A6D" w:rsidR="00D92B14" w:rsidRPr="006F7EC8" w:rsidRDefault="00D92B14" w:rsidP="00DF6098">
            <w:pPr>
              <w:rPr>
                <w:sz w:val="20"/>
                <w:szCs w:val="20"/>
              </w:rPr>
            </w:pPr>
            <w:r>
              <w:rPr>
                <w:sz w:val="20"/>
                <w:szCs w:val="20"/>
              </w:rPr>
              <w:t>Required (Order, article 6)</w:t>
            </w:r>
          </w:p>
        </w:tc>
        <w:tc>
          <w:tcPr>
            <w:tcW w:w="2232" w:type="pct"/>
            <w:shd w:val="clear" w:color="auto" w:fill="D9D9D9" w:themeFill="background1" w:themeFillShade="D9"/>
          </w:tcPr>
          <w:p w14:paraId="644642DD" w14:textId="7E0A14FA" w:rsidR="00D92B14" w:rsidRPr="00954F76" w:rsidRDefault="00D92B14" w:rsidP="00DF6098">
            <w:pPr>
              <w:rPr>
                <w:sz w:val="20"/>
                <w:szCs w:val="20"/>
              </w:rPr>
            </w:pPr>
            <w:r>
              <w:rPr>
                <w:sz w:val="20"/>
                <w:szCs w:val="20"/>
              </w:rPr>
              <w:t>Required (section 7)</w:t>
            </w:r>
          </w:p>
        </w:tc>
      </w:tr>
      <w:tr w:rsidR="00D92B14" w14:paraId="130D9994" w14:textId="77777777" w:rsidTr="00AC02D1">
        <w:trPr>
          <w:cantSplit/>
          <w:trHeight w:val="361"/>
        </w:trPr>
        <w:tc>
          <w:tcPr>
            <w:tcW w:w="949" w:type="pct"/>
            <w:shd w:val="clear" w:color="auto" w:fill="D9D9D9" w:themeFill="background1" w:themeFillShade="D9"/>
          </w:tcPr>
          <w:p w14:paraId="27CE6C66" w14:textId="3774C5E6" w:rsidR="00D92B14" w:rsidRPr="00DA280F" w:rsidRDefault="00D92B14" w:rsidP="00D92B14">
            <w:pPr>
              <w:jc w:val="right"/>
              <w:rPr>
                <w:sz w:val="20"/>
                <w:szCs w:val="20"/>
              </w:rPr>
            </w:pPr>
            <w:r>
              <w:rPr>
                <w:sz w:val="20"/>
                <w:szCs w:val="20"/>
              </w:rPr>
              <w:t>Any changes to be in writing</w:t>
            </w:r>
          </w:p>
        </w:tc>
        <w:tc>
          <w:tcPr>
            <w:tcW w:w="1819" w:type="pct"/>
            <w:shd w:val="clear" w:color="auto" w:fill="D9D9D9" w:themeFill="background1" w:themeFillShade="D9"/>
          </w:tcPr>
          <w:p w14:paraId="5A3CE024" w14:textId="63239A3A" w:rsidR="00D92B14" w:rsidRPr="006F7EC8" w:rsidRDefault="00D92B14" w:rsidP="00D92B14">
            <w:pPr>
              <w:rPr>
                <w:sz w:val="20"/>
                <w:szCs w:val="20"/>
              </w:rPr>
            </w:pPr>
            <w:r>
              <w:rPr>
                <w:sz w:val="20"/>
                <w:szCs w:val="20"/>
              </w:rPr>
              <w:t>Required (Order, article 6)</w:t>
            </w:r>
          </w:p>
        </w:tc>
        <w:tc>
          <w:tcPr>
            <w:tcW w:w="2232" w:type="pct"/>
            <w:shd w:val="clear" w:color="auto" w:fill="D9D9D9" w:themeFill="background1" w:themeFillShade="D9"/>
          </w:tcPr>
          <w:p w14:paraId="6C6FAB5A" w14:textId="4A33E419" w:rsidR="00D92B14" w:rsidRPr="00954F76" w:rsidRDefault="00D92B14" w:rsidP="00D92B14">
            <w:pPr>
              <w:rPr>
                <w:sz w:val="20"/>
                <w:szCs w:val="20"/>
              </w:rPr>
            </w:pPr>
            <w:r>
              <w:rPr>
                <w:sz w:val="20"/>
                <w:szCs w:val="20"/>
              </w:rPr>
              <w:t>Not specifically, but a range of provisions are required to be in writing (section 42)</w:t>
            </w:r>
          </w:p>
        </w:tc>
      </w:tr>
      <w:tr w:rsidR="00D92B14" w14:paraId="4E690C62" w14:textId="77777777" w:rsidTr="00AC02D1">
        <w:trPr>
          <w:cantSplit/>
          <w:trHeight w:val="437"/>
        </w:trPr>
        <w:tc>
          <w:tcPr>
            <w:tcW w:w="949" w:type="pct"/>
            <w:shd w:val="clear" w:color="auto" w:fill="D9D9D9" w:themeFill="background1" w:themeFillShade="D9"/>
          </w:tcPr>
          <w:p w14:paraId="76931037" w14:textId="3D04A7C5" w:rsidR="00D92B14" w:rsidRDefault="00D92B14" w:rsidP="00D92B14">
            <w:pPr>
              <w:jc w:val="right"/>
              <w:rPr>
                <w:sz w:val="20"/>
                <w:szCs w:val="20"/>
              </w:rPr>
            </w:pPr>
            <w:r>
              <w:rPr>
                <w:sz w:val="20"/>
                <w:szCs w:val="20"/>
              </w:rPr>
              <w:t xml:space="preserve">Clear language </w:t>
            </w:r>
          </w:p>
        </w:tc>
        <w:tc>
          <w:tcPr>
            <w:tcW w:w="1819" w:type="pct"/>
            <w:shd w:val="clear" w:color="auto" w:fill="D9D9D9" w:themeFill="background1" w:themeFillShade="D9"/>
          </w:tcPr>
          <w:p w14:paraId="02E21681" w14:textId="6D2E745D" w:rsidR="00D92B14" w:rsidRPr="006F7EC8" w:rsidRDefault="00D92B14" w:rsidP="00D92B14">
            <w:pPr>
              <w:rPr>
                <w:sz w:val="20"/>
                <w:szCs w:val="20"/>
              </w:rPr>
            </w:pPr>
            <w:r>
              <w:rPr>
                <w:sz w:val="20"/>
                <w:szCs w:val="20"/>
              </w:rPr>
              <w:t>N/A</w:t>
            </w:r>
            <w:r w:rsidRPr="006F7EC8">
              <w:rPr>
                <w:sz w:val="20"/>
                <w:szCs w:val="20"/>
              </w:rPr>
              <w:t xml:space="preserve"> </w:t>
            </w:r>
          </w:p>
        </w:tc>
        <w:tc>
          <w:tcPr>
            <w:tcW w:w="2232" w:type="pct"/>
            <w:shd w:val="clear" w:color="auto" w:fill="D9D9D9" w:themeFill="background1" w:themeFillShade="D9"/>
          </w:tcPr>
          <w:p w14:paraId="3686048B" w14:textId="552D6259" w:rsidR="00D92B14" w:rsidRPr="00954F76" w:rsidRDefault="00D92B14">
            <w:pPr>
              <w:rPr>
                <w:sz w:val="20"/>
                <w:szCs w:val="20"/>
              </w:rPr>
            </w:pPr>
            <w:r>
              <w:rPr>
                <w:sz w:val="20"/>
                <w:szCs w:val="20"/>
              </w:rPr>
              <w:t>Only quantity and quality requirements must be in clear terms (section 8(e))</w:t>
            </w:r>
          </w:p>
        </w:tc>
      </w:tr>
      <w:tr w:rsidR="00D92B14" w14:paraId="5C1A0D7C" w14:textId="77777777" w:rsidTr="00AC02D1">
        <w:trPr>
          <w:cantSplit/>
          <w:trHeight w:val="678"/>
        </w:trPr>
        <w:tc>
          <w:tcPr>
            <w:tcW w:w="949" w:type="pct"/>
            <w:shd w:val="clear" w:color="auto" w:fill="D9D9D9" w:themeFill="background1" w:themeFillShade="D9"/>
          </w:tcPr>
          <w:p w14:paraId="5527A00B" w14:textId="76A4F798" w:rsidR="00D92B14" w:rsidRDefault="00D92B14" w:rsidP="00D92B14">
            <w:pPr>
              <w:jc w:val="right"/>
              <w:rPr>
                <w:sz w:val="20"/>
                <w:szCs w:val="20"/>
              </w:rPr>
            </w:pPr>
            <w:r>
              <w:rPr>
                <w:sz w:val="20"/>
                <w:szCs w:val="20"/>
              </w:rPr>
              <w:t xml:space="preserve">Hold copy of agreement </w:t>
            </w:r>
          </w:p>
        </w:tc>
        <w:tc>
          <w:tcPr>
            <w:tcW w:w="1819" w:type="pct"/>
            <w:shd w:val="clear" w:color="auto" w:fill="D9D9D9" w:themeFill="background1" w:themeFillShade="D9"/>
          </w:tcPr>
          <w:p w14:paraId="6C339950" w14:textId="42EFEB38" w:rsidR="00D92B14" w:rsidRPr="006F7EC8" w:rsidRDefault="00D92B14" w:rsidP="00D92B14">
            <w:pPr>
              <w:rPr>
                <w:sz w:val="20"/>
                <w:szCs w:val="20"/>
              </w:rPr>
            </w:pPr>
            <w:r>
              <w:rPr>
                <w:sz w:val="20"/>
                <w:szCs w:val="20"/>
              </w:rPr>
              <w:t>Required, must be held for 12</w:t>
            </w:r>
            <w:r w:rsidR="00A06989">
              <w:rPr>
                <w:sz w:val="20"/>
                <w:szCs w:val="20"/>
              </w:rPr>
              <w:t> </w:t>
            </w:r>
            <w:r w:rsidRPr="006F7EC8">
              <w:rPr>
                <w:sz w:val="20"/>
                <w:szCs w:val="20"/>
              </w:rPr>
              <w:t>months after the agreement end</w:t>
            </w:r>
            <w:r>
              <w:rPr>
                <w:sz w:val="20"/>
                <w:szCs w:val="20"/>
              </w:rPr>
              <w:t>s (Order, article 6)</w:t>
            </w:r>
          </w:p>
        </w:tc>
        <w:tc>
          <w:tcPr>
            <w:tcW w:w="2232" w:type="pct"/>
            <w:shd w:val="clear" w:color="auto" w:fill="D9D9D9" w:themeFill="background1" w:themeFillShade="D9"/>
          </w:tcPr>
          <w:p w14:paraId="128D91AB" w14:textId="585A297B" w:rsidR="00D92B14" w:rsidRPr="00954F76" w:rsidRDefault="00D92B14">
            <w:pPr>
              <w:rPr>
                <w:sz w:val="20"/>
                <w:szCs w:val="20"/>
              </w:rPr>
            </w:pPr>
            <w:r>
              <w:rPr>
                <w:sz w:val="20"/>
                <w:szCs w:val="20"/>
              </w:rPr>
              <w:t xml:space="preserve">Required, must be held for </w:t>
            </w:r>
            <w:r w:rsidRPr="00954F76">
              <w:rPr>
                <w:sz w:val="20"/>
                <w:szCs w:val="20"/>
              </w:rPr>
              <w:t>6 years after the agreement ends</w:t>
            </w:r>
            <w:r>
              <w:rPr>
                <w:rStyle w:val="FootnoteReference"/>
                <w:sz w:val="20"/>
                <w:szCs w:val="20"/>
              </w:rPr>
              <w:footnoteReference w:id="20"/>
            </w:r>
            <w:r>
              <w:rPr>
                <w:sz w:val="20"/>
                <w:szCs w:val="20"/>
              </w:rPr>
              <w:t xml:space="preserve"> (section 42(1))</w:t>
            </w:r>
          </w:p>
        </w:tc>
      </w:tr>
      <w:tr w:rsidR="00D92B14" w14:paraId="50C55603" w14:textId="77777777" w:rsidTr="00DF41D7">
        <w:trPr>
          <w:cantSplit/>
          <w:trHeight w:val="270"/>
        </w:trPr>
        <w:tc>
          <w:tcPr>
            <w:tcW w:w="949" w:type="pct"/>
            <w:shd w:val="clear" w:color="auto" w:fill="D9D9D9" w:themeFill="background1" w:themeFillShade="D9"/>
          </w:tcPr>
          <w:p w14:paraId="4C7A6F5E" w14:textId="76766B11" w:rsidR="00D92B14" w:rsidRDefault="00D92B14" w:rsidP="00D92B14">
            <w:pPr>
              <w:jc w:val="right"/>
              <w:rPr>
                <w:sz w:val="20"/>
                <w:szCs w:val="20"/>
              </w:rPr>
            </w:pPr>
            <w:r w:rsidRPr="00DA280F">
              <w:rPr>
                <w:sz w:val="20"/>
                <w:szCs w:val="20"/>
              </w:rPr>
              <w:t>Provide to supplier</w:t>
            </w:r>
          </w:p>
        </w:tc>
        <w:tc>
          <w:tcPr>
            <w:tcW w:w="1819" w:type="pct"/>
            <w:shd w:val="clear" w:color="auto" w:fill="D9D9D9" w:themeFill="background1" w:themeFillShade="D9"/>
          </w:tcPr>
          <w:p w14:paraId="100F57E5" w14:textId="241732FF" w:rsidR="00D92B14" w:rsidRPr="006F7EC8" w:rsidRDefault="00D92B14" w:rsidP="00D92B14">
            <w:pPr>
              <w:rPr>
                <w:sz w:val="20"/>
                <w:szCs w:val="20"/>
              </w:rPr>
            </w:pPr>
            <w:r>
              <w:rPr>
                <w:sz w:val="20"/>
                <w:szCs w:val="20"/>
              </w:rPr>
              <w:t>Required</w:t>
            </w:r>
            <w:r w:rsidRPr="006F7EC8">
              <w:rPr>
                <w:sz w:val="20"/>
                <w:szCs w:val="20"/>
              </w:rPr>
              <w:t xml:space="preserve"> </w:t>
            </w:r>
            <w:r>
              <w:rPr>
                <w:sz w:val="20"/>
                <w:szCs w:val="20"/>
              </w:rPr>
              <w:t>(Order, article 6)</w:t>
            </w:r>
          </w:p>
        </w:tc>
        <w:tc>
          <w:tcPr>
            <w:tcW w:w="2232" w:type="pct"/>
            <w:shd w:val="clear" w:color="auto" w:fill="D9D9D9" w:themeFill="background1" w:themeFillShade="D9"/>
          </w:tcPr>
          <w:p w14:paraId="37ABB180" w14:textId="00BF407A" w:rsidR="00D92B14" w:rsidRPr="00954F76" w:rsidRDefault="00D92B14" w:rsidP="00D92B14">
            <w:pPr>
              <w:rPr>
                <w:sz w:val="20"/>
                <w:szCs w:val="20"/>
              </w:rPr>
            </w:pPr>
            <w:r>
              <w:rPr>
                <w:sz w:val="20"/>
                <w:szCs w:val="20"/>
              </w:rPr>
              <w:t>N/A</w:t>
            </w:r>
          </w:p>
        </w:tc>
      </w:tr>
      <w:tr w:rsidR="00A269E2" w14:paraId="175BE5C1" w14:textId="77777777" w:rsidTr="00D92B14">
        <w:trPr>
          <w:cantSplit/>
          <w:trHeight w:val="773"/>
        </w:trPr>
        <w:tc>
          <w:tcPr>
            <w:tcW w:w="949" w:type="pct"/>
            <w:shd w:val="clear" w:color="auto" w:fill="D9D9D9" w:themeFill="background1" w:themeFillShade="D9"/>
          </w:tcPr>
          <w:p w14:paraId="3AE2023B" w14:textId="50956C29" w:rsidR="00A269E2" w:rsidRPr="00DA280F" w:rsidRDefault="00A269E2" w:rsidP="00D92B14">
            <w:pPr>
              <w:jc w:val="right"/>
              <w:rPr>
                <w:sz w:val="20"/>
                <w:szCs w:val="20"/>
              </w:rPr>
            </w:pPr>
            <w:r>
              <w:rPr>
                <w:sz w:val="20"/>
                <w:szCs w:val="20"/>
              </w:rPr>
              <w:t>Minimum content</w:t>
            </w:r>
          </w:p>
        </w:tc>
        <w:tc>
          <w:tcPr>
            <w:tcW w:w="1819" w:type="pct"/>
            <w:shd w:val="clear" w:color="auto" w:fill="D9D9D9" w:themeFill="background1" w:themeFillShade="D9"/>
          </w:tcPr>
          <w:p w14:paraId="0B7C5E50" w14:textId="2663C98E" w:rsidR="00A269E2" w:rsidRPr="006F7EC8" w:rsidDel="00D92B14" w:rsidRDefault="00F51EE9" w:rsidP="00D92B14">
            <w:pPr>
              <w:rPr>
                <w:sz w:val="20"/>
                <w:szCs w:val="20"/>
              </w:rPr>
            </w:pPr>
            <w:r>
              <w:rPr>
                <w:sz w:val="20"/>
                <w:szCs w:val="20"/>
              </w:rPr>
              <w:t xml:space="preserve">Duty to </w:t>
            </w:r>
            <w:r w:rsidR="00A269E2" w:rsidRPr="00A269E2">
              <w:rPr>
                <w:sz w:val="20"/>
                <w:szCs w:val="20"/>
              </w:rPr>
              <w:t>incorporate the Code in supply agreements</w:t>
            </w:r>
            <w:r>
              <w:rPr>
                <w:sz w:val="20"/>
                <w:szCs w:val="20"/>
              </w:rPr>
              <w:t xml:space="preserve">. Must not </w:t>
            </w:r>
            <w:r w:rsidR="00A269E2">
              <w:rPr>
                <w:sz w:val="20"/>
                <w:szCs w:val="20"/>
              </w:rPr>
              <w:t>enter a</w:t>
            </w:r>
            <w:r w:rsidR="00DF41D7">
              <w:rPr>
                <w:sz w:val="20"/>
                <w:szCs w:val="20"/>
              </w:rPr>
              <w:t>n</w:t>
            </w:r>
            <w:r w:rsidR="00A269E2">
              <w:rPr>
                <w:sz w:val="20"/>
                <w:szCs w:val="20"/>
              </w:rPr>
              <w:t xml:space="preserve"> agreement that is inconsistent with the Code</w:t>
            </w:r>
            <w:r>
              <w:rPr>
                <w:sz w:val="20"/>
                <w:szCs w:val="20"/>
              </w:rPr>
              <w:t xml:space="preserve"> (Order, article 5)</w:t>
            </w:r>
          </w:p>
        </w:tc>
        <w:tc>
          <w:tcPr>
            <w:tcW w:w="2232" w:type="pct"/>
            <w:shd w:val="clear" w:color="auto" w:fill="D9D9D9" w:themeFill="background1" w:themeFillShade="D9"/>
          </w:tcPr>
          <w:p w14:paraId="3D3AE47A" w14:textId="178462A5" w:rsidR="00A269E2" w:rsidRDefault="00A269E2" w:rsidP="00D92B14">
            <w:pPr>
              <w:rPr>
                <w:sz w:val="20"/>
                <w:szCs w:val="20"/>
              </w:rPr>
            </w:pPr>
            <w:r>
              <w:rPr>
                <w:sz w:val="20"/>
                <w:szCs w:val="20"/>
              </w:rPr>
              <w:t>All matters recommended by the Commission</w:t>
            </w:r>
            <w:r w:rsidR="00F51EE9">
              <w:rPr>
                <w:sz w:val="20"/>
                <w:szCs w:val="20"/>
              </w:rPr>
              <w:t xml:space="preserve"> (above) </w:t>
            </w:r>
            <w:r>
              <w:rPr>
                <w:sz w:val="20"/>
                <w:szCs w:val="20"/>
              </w:rPr>
              <w:t>plus the duration of the agreement and termination processes</w:t>
            </w:r>
            <w:r w:rsidR="00F51EE9">
              <w:rPr>
                <w:sz w:val="20"/>
                <w:szCs w:val="20"/>
              </w:rPr>
              <w:t xml:space="preserve"> (Section 8)</w:t>
            </w:r>
          </w:p>
        </w:tc>
      </w:tr>
    </w:tbl>
    <w:p w14:paraId="113E6FC3" w14:textId="4FD53D04" w:rsidR="00D22D78" w:rsidRDefault="00D22D78" w:rsidP="00495024">
      <w:pPr>
        <w:pStyle w:val="Numbered"/>
      </w:pPr>
      <w:bookmarkStart w:id="128" w:name="_Toc103173697"/>
      <w:bookmarkEnd w:id="127"/>
      <w:r>
        <w:t>There are two major benefits from increasing the use of written grocery supply agreements. Firstly,</w:t>
      </w:r>
      <w:r w:rsidR="00495024">
        <w:t xml:space="preserve"> it shifts suppliers off </w:t>
      </w:r>
      <w:r>
        <w:t>informal, unwritten supply agreements, which leaves them more vulnerable to pressure to accept unfavourable supply terms and conditions.</w:t>
      </w:r>
      <w:r w:rsidR="00495024">
        <w:t xml:space="preserve"> We are aware that there are some suppliers providing groceries to major grocery retailers are in this situation. </w:t>
      </w:r>
      <w:r>
        <w:t xml:space="preserve">Secondly, </w:t>
      </w:r>
      <w:r w:rsidR="00495024">
        <w:t xml:space="preserve">it improves transparency across the industry and makes the other components of the Code (refer to Chapters 6 and 7) more effective. This occurs through not just </w:t>
      </w:r>
      <w:r>
        <w:t xml:space="preserve">increasing the use of written supply agreements </w:t>
      </w:r>
      <w:r w:rsidR="00495024">
        <w:t xml:space="preserve">but ensuring they have the minimum content and </w:t>
      </w:r>
      <w:r>
        <w:t xml:space="preserve">ensuring any changes are made in writing. </w:t>
      </w:r>
    </w:p>
    <w:p w14:paraId="75FF8C2A" w14:textId="76C079A1" w:rsidR="00A269E2" w:rsidRPr="00BF0CAB" w:rsidRDefault="00107398" w:rsidP="00A269E2">
      <w:pPr>
        <w:pStyle w:val="Numbered"/>
      </w:pPr>
      <w:r>
        <w:t>W</w:t>
      </w:r>
      <w:r w:rsidR="00A269E2">
        <w:t xml:space="preserve">e </w:t>
      </w:r>
      <w:r w:rsidR="00495024">
        <w:t xml:space="preserve">have developed </w:t>
      </w:r>
      <w:r w:rsidR="00A269E2">
        <w:t>two options</w:t>
      </w:r>
      <w:r w:rsidR="00495024">
        <w:t xml:space="preserve"> for the minimum content of written supply agreements</w:t>
      </w:r>
      <w:r>
        <w:t>:</w:t>
      </w:r>
    </w:p>
    <w:tbl>
      <w:tblPr>
        <w:tblStyle w:val="TableGrid"/>
        <w:tblW w:w="9214"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3686"/>
        <w:gridCol w:w="5528"/>
      </w:tblGrid>
      <w:tr w:rsidR="00F51EE9" w:rsidRPr="007C7830" w14:paraId="15E68E03" w14:textId="77777777" w:rsidTr="00AC02D1">
        <w:tc>
          <w:tcPr>
            <w:tcW w:w="3686" w:type="dxa"/>
            <w:shd w:val="clear" w:color="auto" w:fill="B3D0D5"/>
          </w:tcPr>
          <w:p w14:paraId="67B114A7" w14:textId="426743A5" w:rsidR="00F51EE9" w:rsidRPr="007C7830" w:rsidRDefault="00F51EE9" w:rsidP="00E25F3D">
            <w:pPr>
              <w:pStyle w:val="Numbered"/>
              <w:numPr>
                <w:ilvl w:val="0"/>
                <w:numId w:val="0"/>
              </w:numPr>
              <w:spacing w:before="0"/>
              <w:rPr>
                <w:sz w:val="20"/>
                <w:szCs w:val="20"/>
              </w:rPr>
            </w:pPr>
            <w:r w:rsidRPr="007C7830">
              <w:rPr>
                <w:b/>
                <w:bCs/>
                <w:sz w:val="20"/>
                <w:szCs w:val="20"/>
              </w:rPr>
              <w:t>Option 1 (Principle-based Code)</w:t>
            </w:r>
            <w:r w:rsidR="00C33B9C">
              <w:rPr>
                <w:b/>
                <w:bCs/>
                <w:sz w:val="20"/>
                <w:szCs w:val="20"/>
              </w:rPr>
              <w:t>:</w:t>
            </w:r>
          </w:p>
        </w:tc>
        <w:tc>
          <w:tcPr>
            <w:tcW w:w="5528" w:type="dxa"/>
            <w:shd w:val="clear" w:color="auto" w:fill="B3D0D5"/>
          </w:tcPr>
          <w:p w14:paraId="2A0ED3F8" w14:textId="586D29EC" w:rsidR="00F51EE9" w:rsidRPr="007C7830" w:rsidRDefault="00D3390A" w:rsidP="00E25F3D">
            <w:pPr>
              <w:pStyle w:val="Numbered"/>
              <w:numPr>
                <w:ilvl w:val="0"/>
                <w:numId w:val="0"/>
              </w:numPr>
              <w:spacing w:before="0"/>
              <w:rPr>
                <w:sz w:val="20"/>
                <w:szCs w:val="20"/>
              </w:rPr>
            </w:pPr>
            <w:r w:rsidRPr="00D3390A">
              <w:rPr>
                <w:b/>
                <w:bCs/>
                <w:sz w:val="20"/>
                <w:szCs w:val="20"/>
              </w:rPr>
              <w:t>Option 2 (Prescriptive Code)</w:t>
            </w:r>
            <w:r w:rsidR="00243358">
              <w:rPr>
                <w:b/>
                <w:bCs/>
                <w:sz w:val="20"/>
                <w:szCs w:val="20"/>
              </w:rPr>
              <w:t xml:space="preserve"> &amp; Option 3 </w:t>
            </w:r>
            <w:r w:rsidR="00877D9C">
              <w:rPr>
                <w:b/>
                <w:bCs/>
                <w:sz w:val="20"/>
                <w:szCs w:val="20"/>
              </w:rPr>
              <w:t>(</w:t>
            </w:r>
            <w:r w:rsidR="00243358" w:rsidRPr="00243358">
              <w:rPr>
                <w:b/>
                <w:bCs/>
                <w:sz w:val="20"/>
                <w:szCs w:val="20"/>
              </w:rPr>
              <w:t>Alternative Code</w:t>
            </w:r>
            <w:r w:rsidR="00877D9C">
              <w:rPr>
                <w:b/>
                <w:bCs/>
                <w:sz w:val="20"/>
                <w:szCs w:val="20"/>
              </w:rPr>
              <w:t>)</w:t>
            </w:r>
            <w:r w:rsidR="00243358">
              <w:rPr>
                <w:b/>
                <w:bCs/>
                <w:sz w:val="20"/>
                <w:szCs w:val="20"/>
              </w:rPr>
              <w:t>:</w:t>
            </w:r>
          </w:p>
        </w:tc>
      </w:tr>
      <w:tr w:rsidR="00A269E2" w:rsidRPr="00133B22" w14:paraId="3CB0D661" w14:textId="77777777" w:rsidTr="00AC02D1">
        <w:tc>
          <w:tcPr>
            <w:tcW w:w="3686" w:type="dxa"/>
            <w:shd w:val="clear" w:color="auto" w:fill="B3D0D5"/>
          </w:tcPr>
          <w:p w14:paraId="48E2D66A" w14:textId="75FD5CC1" w:rsidR="00A269E2" w:rsidRDefault="00A269E2" w:rsidP="004B5F4B">
            <w:pPr>
              <w:pStyle w:val="Numbered"/>
              <w:numPr>
                <w:ilvl w:val="0"/>
                <w:numId w:val="0"/>
              </w:numPr>
              <w:spacing w:before="0" w:after="120"/>
            </w:pPr>
            <w:r>
              <w:t xml:space="preserve">All </w:t>
            </w:r>
            <w:r w:rsidR="00243358">
              <w:t xml:space="preserve">grocery </w:t>
            </w:r>
            <w:r>
              <w:t>supply agreements must be w</w:t>
            </w:r>
            <w:r w:rsidRPr="0006109E">
              <w:t>ritten</w:t>
            </w:r>
            <w:r>
              <w:t xml:space="preserve"> in plain English and provided to </w:t>
            </w:r>
            <w:r w:rsidR="00243358">
              <w:t>supplier</w:t>
            </w:r>
            <w:r>
              <w:t>.</w:t>
            </w:r>
          </w:p>
          <w:p w14:paraId="016B6603" w14:textId="3E9DB046" w:rsidR="00A269E2" w:rsidRDefault="00243358" w:rsidP="004B5F4B">
            <w:pPr>
              <w:pStyle w:val="Numbered"/>
              <w:numPr>
                <w:ilvl w:val="0"/>
                <w:numId w:val="0"/>
              </w:numPr>
              <w:spacing w:before="0" w:after="120"/>
            </w:pPr>
            <w:r>
              <w:t>Grocery s</w:t>
            </w:r>
            <w:r w:rsidR="00A269E2">
              <w:t xml:space="preserve">upply agreements must be held </w:t>
            </w:r>
            <w:r>
              <w:t xml:space="preserve">by designated retailer </w:t>
            </w:r>
            <w:r w:rsidR="00A269E2">
              <w:t>for 1</w:t>
            </w:r>
            <w:r w:rsidR="00A06989">
              <w:t> </w:t>
            </w:r>
            <w:r w:rsidR="00A269E2">
              <w:t>year after they expire.</w:t>
            </w:r>
          </w:p>
          <w:p w14:paraId="41488BBB" w14:textId="5EC8F648" w:rsidR="00F51EE9" w:rsidRPr="00517B92" w:rsidRDefault="00243358" w:rsidP="004B5F4B">
            <w:pPr>
              <w:pStyle w:val="Numbered"/>
              <w:numPr>
                <w:ilvl w:val="0"/>
                <w:numId w:val="0"/>
              </w:numPr>
              <w:spacing w:before="0" w:after="120"/>
              <w:rPr>
                <w:b/>
                <w:bCs/>
                <w:highlight w:val="yellow"/>
              </w:rPr>
            </w:pPr>
            <w:r>
              <w:t>Designated retailer m</w:t>
            </w:r>
            <w:r w:rsidR="00F51EE9">
              <w:t xml:space="preserve">ust </w:t>
            </w:r>
            <w:r w:rsidR="00F51EE9" w:rsidRPr="0006109E">
              <w:t xml:space="preserve">not enter </w:t>
            </w:r>
            <w:r w:rsidR="00A06989">
              <w:t xml:space="preserve">into </w:t>
            </w:r>
            <w:r w:rsidR="00F51EE9" w:rsidRPr="0006109E">
              <w:t xml:space="preserve">any </w:t>
            </w:r>
            <w:r>
              <w:t xml:space="preserve">grocery </w:t>
            </w:r>
            <w:r w:rsidR="00F51EE9">
              <w:t xml:space="preserve">supply </w:t>
            </w:r>
            <w:r w:rsidR="00F51EE9" w:rsidRPr="0006109E">
              <w:t>agreement that is inconsistent with the Code</w:t>
            </w:r>
            <w:r w:rsidR="00F51EE9">
              <w:t>.</w:t>
            </w:r>
          </w:p>
        </w:tc>
        <w:tc>
          <w:tcPr>
            <w:tcW w:w="5528" w:type="dxa"/>
            <w:shd w:val="clear" w:color="auto" w:fill="B3D0D5"/>
          </w:tcPr>
          <w:p w14:paraId="17255C01" w14:textId="41D8DE5D" w:rsidR="00A269E2" w:rsidRDefault="00A269E2" w:rsidP="004B5F4B">
            <w:pPr>
              <w:pStyle w:val="Numbered"/>
              <w:numPr>
                <w:ilvl w:val="0"/>
                <w:numId w:val="0"/>
              </w:numPr>
              <w:spacing w:before="0" w:after="120"/>
            </w:pPr>
            <w:r>
              <w:t xml:space="preserve">All </w:t>
            </w:r>
            <w:r w:rsidR="00243358">
              <w:t xml:space="preserve">grocery </w:t>
            </w:r>
            <w:r>
              <w:t>supply agreements must be w</w:t>
            </w:r>
            <w:r w:rsidRPr="0006109E">
              <w:t>ritten</w:t>
            </w:r>
            <w:r>
              <w:t xml:space="preserve"> in plain English and provided to </w:t>
            </w:r>
            <w:r w:rsidR="00243358">
              <w:t>supplier</w:t>
            </w:r>
            <w:r>
              <w:t>.</w:t>
            </w:r>
          </w:p>
          <w:p w14:paraId="4C56ED95" w14:textId="63B318F6" w:rsidR="00F51EE9" w:rsidRDefault="00243358" w:rsidP="004B5F4B">
            <w:pPr>
              <w:pStyle w:val="Numbered"/>
              <w:numPr>
                <w:ilvl w:val="0"/>
                <w:numId w:val="0"/>
              </w:numPr>
              <w:spacing w:before="0" w:after="120"/>
            </w:pPr>
            <w:r>
              <w:t xml:space="preserve">Grocery supply </w:t>
            </w:r>
            <w:r w:rsidR="00A269E2">
              <w:t xml:space="preserve">agreements must be held </w:t>
            </w:r>
            <w:r>
              <w:t xml:space="preserve">by designated retailer </w:t>
            </w:r>
            <w:r w:rsidR="00A269E2">
              <w:t xml:space="preserve">for </w:t>
            </w:r>
            <w:r w:rsidR="00A269E2" w:rsidRPr="0006109E">
              <w:t>7 years (</w:t>
            </w:r>
            <w:r w:rsidR="00A269E2">
              <w:t>align</w:t>
            </w:r>
            <w:r w:rsidR="00A06989">
              <w:t>s</w:t>
            </w:r>
            <w:r w:rsidR="00A269E2">
              <w:t xml:space="preserve"> with NZ tax requirements</w:t>
            </w:r>
            <w:r w:rsidR="00F51EE9">
              <w:t>)</w:t>
            </w:r>
            <w:r w:rsidR="005663A0">
              <w:t>.</w:t>
            </w:r>
          </w:p>
          <w:p w14:paraId="0F474864" w14:textId="32C74453" w:rsidR="00A269E2" w:rsidRDefault="00243358" w:rsidP="00E25F3D">
            <w:pPr>
              <w:pStyle w:val="Numbered"/>
              <w:numPr>
                <w:ilvl w:val="0"/>
                <w:numId w:val="0"/>
              </w:numPr>
              <w:spacing w:before="0"/>
              <w:rPr>
                <w:b/>
                <w:bCs/>
              </w:rPr>
            </w:pPr>
            <w:r>
              <w:t xml:space="preserve">Grocery supply </w:t>
            </w:r>
            <w:r w:rsidR="00F51EE9">
              <w:t xml:space="preserve">agreements must contain minimum content (per Commission’s recommendation plus details of </w:t>
            </w:r>
            <w:r w:rsidR="00F51EE9" w:rsidRPr="00AC02D1">
              <w:t>the duration of the agreement and termination processes</w:t>
            </w:r>
            <w:r w:rsidR="00A06989">
              <w:t>)</w:t>
            </w:r>
            <w:r w:rsidR="00F51EE9" w:rsidRPr="00AC02D1">
              <w:t>.</w:t>
            </w:r>
          </w:p>
        </w:tc>
      </w:tr>
    </w:tbl>
    <w:p w14:paraId="3CDA2DF9" w14:textId="27C88457" w:rsidR="00CF4AAE" w:rsidRDefault="00CF4AAE" w:rsidP="00507FB6">
      <w:pPr>
        <w:pStyle w:val="Numbered"/>
      </w:pPr>
      <w:r>
        <w:t xml:space="preserve">Both </w:t>
      </w:r>
      <w:r w:rsidRPr="00507FB6">
        <w:rPr>
          <w:b/>
          <w:bCs/>
        </w:rPr>
        <w:t>Option</w:t>
      </w:r>
      <w:r w:rsidR="005663A0">
        <w:rPr>
          <w:b/>
          <w:bCs/>
        </w:rPr>
        <w:t>s</w:t>
      </w:r>
      <w:r w:rsidRPr="00507FB6">
        <w:rPr>
          <w:b/>
          <w:bCs/>
        </w:rPr>
        <w:t xml:space="preserve"> 1 and 2 </w:t>
      </w:r>
      <w:r>
        <w:t xml:space="preserve">will </w:t>
      </w:r>
      <w:r w:rsidR="00507FB6">
        <w:t xml:space="preserve">add administrative costs (both temporary and ongoing) for all parties </w:t>
      </w:r>
      <w:r w:rsidR="00BB0FED">
        <w:t xml:space="preserve">as </w:t>
      </w:r>
      <w:r w:rsidR="00507FB6">
        <w:t xml:space="preserve">written </w:t>
      </w:r>
      <w:r w:rsidR="00BB0FED">
        <w:t xml:space="preserve">grocery supply </w:t>
      </w:r>
      <w:r w:rsidR="00507FB6">
        <w:t xml:space="preserve">agreements </w:t>
      </w:r>
      <w:r w:rsidR="00BB0FED">
        <w:t>become the standard</w:t>
      </w:r>
      <w:r w:rsidR="00507FB6">
        <w:t>.</w:t>
      </w:r>
    </w:p>
    <w:bookmarkEnd w:id="128"/>
    <w:p w14:paraId="58DB247D" w14:textId="6EBB701A" w:rsidR="00870AC1" w:rsidRPr="00870AC1" w:rsidRDefault="00CF4AAE" w:rsidP="00FA5436">
      <w:pPr>
        <w:pStyle w:val="Numbered"/>
        <w:spacing w:before="0"/>
      </w:pPr>
      <w:r>
        <w:rPr>
          <w:b/>
          <w:bCs/>
        </w:rPr>
        <w:lastRenderedPageBreak/>
        <w:t>Option 1</w:t>
      </w:r>
      <w:r w:rsidR="00870AC1" w:rsidRPr="00870AC1">
        <w:t xml:space="preserve"> </w:t>
      </w:r>
      <w:r>
        <w:t xml:space="preserve">may be </w:t>
      </w:r>
      <w:r w:rsidR="00877D9C">
        <w:t xml:space="preserve">slightly </w:t>
      </w:r>
      <w:r>
        <w:t xml:space="preserve">less </w:t>
      </w:r>
      <w:r w:rsidR="00FA5436">
        <w:t>effective</w:t>
      </w:r>
      <w:r>
        <w:t xml:space="preserve"> from an implementation perspective</w:t>
      </w:r>
      <w:r w:rsidR="00FA5436">
        <w:t xml:space="preserve"> because i</w:t>
      </w:r>
      <w:r>
        <w:t xml:space="preserve">t may </w:t>
      </w:r>
      <w:r w:rsidR="007637D3">
        <w:t xml:space="preserve">result in </w:t>
      </w:r>
      <w:r w:rsidR="00BB0FED">
        <w:t xml:space="preserve">variable </w:t>
      </w:r>
      <w:r w:rsidR="007637D3">
        <w:t>content</w:t>
      </w:r>
      <w:r w:rsidR="00BB0FED">
        <w:t xml:space="preserve"> of grocery supply agreements</w:t>
      </w:r>
      <w:r w:rsidR="00870AC1" w:rsidRPr="00870AC1">
        <w:t xml:space="preserve">. </w:t>
      </w:r>
      <w:r w:rsidR="00107398">
        <w:t xml:space="preserve">It is </w:t>
      </w:r>
      <w:r w:rsidR="0028578B">
        <w:t xml:space="preserve">also </w:t>
      </w:r>
      <w:r w:rsidR="00107398">
        <w:t xml:space="preserve">expected to be less efficient because of </w:t>
      </w:r>
      <w:r w:rsidR="00BB0FED">
        <w:t>extra</w:t>
      </w:r>
      <w:r w:rsidR="00107398">
        <w:t xml:space="preserve"> work for each designated retailer to determine what complies with the Code.</w:t>
      </w:r>
    </w:p>
    <w:p w14:paraId="7B349BC4" w14:textId="5D8E109F" w:rsidR="00155FC8" w:rsidRPr="00870AC1" w:rsidRDefault="00FA5436" w:rsidP="00507FB6">
      <w:pPr>
        <w:pStyle w:val="Numbered"/>
      </w:pPr>
      <w:r>
        <w:t xml:space="preserve">By comparison, </w:t>
      </w:r>
      <w:r>
        <w:rPr>
          <w:b/>
          <w:bCs/>
        </w:rPr>
        <w:t>Option</w:t>
      </w:r>
      <w:r w:rsidR="005663A0">
        <w:rPr>
          <w:b/>
          <w:bCs/>
        </w:rPr>
        <w:t>s</w:t>
      </w:r>
      <w:r>
        <w:rPr>
          <w:b/>
          <w:bCs/>
        </w:rPr>
        <w:t xml:space="preserve"> </w:t>
      </w:r>
      <w:r w:rsidRPr="00FA5436">
        <w:rPr>
          <w:b/>
          <w:bCs/>
        </w:rPr>
        <w:t>2</w:t>
      </w:r>
      <w:r w:rsidR="00507FB6">
        <w:rPr>
          <w:b/>
          <w:bCs/>
        </w:rPr>
        <w:t xml:space="preserve"> and 3</w:t>
      </w:r>
      <w:r w:rsidRPr="00AC02D1">
        <w:rPr>
          <w:b/>
          <w:bCs/>
        </w:rPr>
        <w:t xml:space="preserve"> </w:t>
      </w:r>
      <w:r w:rsidR="00507FB6" w:rsidRPr="00507FB6">
        <w:t>may be more effective</w:t>
      </w:r>
      <w:r w:rsidR="00507FB6">
        <w:t xml:space="preserve"> and efficient</w:t>
      </w:r>
      <w:r w:rsidR="00507FB6" w:rsidRPr="00507FB6">
        <w:t xml:space="preserve"> because </w:t>
      </w:r>
      <w:r w:rsidR="00C60641">
        <w:t>they</w:t>
      </w:r>
      <w:r w:rsidR="00C60641">
        <w:rPr>
          <w:b/>
          <w:bCs/>
        </w:rPr>
        <w:t xml:space="preserve"> </w:t>
      </w:r>
      <w:r w:rsidR="008F0AFE">
        <w:t xml:space="preserve">have less scope for interpretation and require </w:t>
      </w:r>
      <w:r w:rsidR="00870AC1" w:rsidRPr="00870AC1">
        <w:t xml:space="preserve">the </w:t>
      </w:r>
      <w:r w:rsidR="00107398">
        <w:t xml:space="preserve">minimum </w:t>
      </w:r>
      <w:r w:rsidR="008F0AFE">
        <w:t xml:space="preserve">necessary content to be </w:t>
      </w:r>
      <w:r w:rsidR="00870AC1" w:rsidRPr="00870AC1">
        <w:t xml:space="preserve">in </w:t>
      </w:r>
      <w:r>
        <w:t xml:space="preserve">every </w:t>
      </w:r>
      <w:r w:rsidR="00870AC1" w:rsidRPr="00870AC1">
        <w:t>supply agreement</w:t>
      </w:r>
      <w:r w:rsidR="001E4C92">
        <w:t xml:space="preserve">. </w:t>
      </w:r>
      <w:r w:rsidR="00507FB6">
        <w:t>However, thi</w:t>
      </w:r>
      <w:r w:rsidR="00C60641">
        <w:t>s</w:t>
      </w:r>
      <w:r w:rsidR="00507FB6">
        <w:t xml:space="preserve"> is less flexible and may be less durable if it cannot adapt to changing practices over time.</w:t>
      </w:r>
    </w:p>
    <w:p w14:paraId="70849F25" w14:textId="60E29434" w:rsidR="00870AC1" w:rsidRDefault="00AF6D49" w:rsidP="00871288">
      <w:pPr>
        <w:pStyle w:val="Heading2"/>
        <w:tabs>
          <w:tab w:val="left" w:pos="567"/>
        </w:tabs>
      </w:pPr>
      <w:bookmarkStart w:id="129" w:name="_Toc103173698"/>
      <w:bookmarkStart w:id="130" w:name="_Toc104358658"/>
      <w:bookmarkStart w:id="131" w:name="_Toc107919638"/>
      <w:r>
        <w:t>5.</w:t>
      </w:r>
      <w:r w:rsidR="00E55D72">
        <w:t>3</w:t>
      </w:r>
      <w:r w:rsidR="00871288">
        <w:tab/>
      </w:r>
      <w:r w:rsidR="00643375">
        <w:t>Limiting unilateral</w:t>
      </w:r>
      <w:r w:rsidR="003F166E">
        <w:t xml:space="preserve"> </w:t>
      </w:r>
      <w:r w:rsidR="00507FB6">
        <w:t xml:space="preserve">variation </w:t>
      </w:r>
      <w:r w:rsidR="003F166E">
        <w:t>and</w:t>
      </w:r>
      <w:r w:rsidR="00643375">
        <w:t xml:space="preserve"> </w:t>
      </w:r>
      <w:r w:rsidR="003F166E">
        <w:t xml:space="preserve">retrospective </w:t>
      </w:r>
      <w:r w:rsidR="00643375">
        <w:t xml:space="preserve">variation </w:t>
      </w:r>
      <w:r w:rsidR="00507FB6">
        <w:t xml:space="preserve">to grocery </w:t>
      </w:r>
      <w:r w:rsidR="00870AC1">
        <w:t>supply agreements</w:t>
      </w:r>
      <w:bookmarkEnd w:id="129"/>
      <w:bookmarkEnd w:id="130"/>
      <w:bookmarkEnd w:id="131"/>
    </w:p>
    <w:p w14:paraId="7D9F2408" w14:textId="5A3109B0" w:rsidR="003F166E" w:rsidRPr="003F166E" w:rsidRDefault="003F166E" w:rsidP="003F166E">
      <w:pPr>
        <w:pStyle w:val="Numbered"/>
      </w:pPr>
      <w:r>
        <w:t xml:space="preserve">A unilateral variation to a </w:t>
      </w:r>
      <w:r w:rsidR="00C60641">
        <w:t xml:space="preserve">grocery </w:t>
      </w:r>
      <w:r>
        <w:t xml:space="preserve">supply agreement is a change made by one party without requiring the agreement of the other party. A retrospective variation to a </w:t>
      </w:r>
      <w:r w:rsidR="00C60641">
        <w:t xml:space="preserve">grocery </w:t>
      </w:r>
      <w:r>
        <w:t>supply agreement is a unilateral change made by one party that modifies something from the past.</w:t>
      </w:r>
      <w:r w:rsidR="006A05F6" w:rsidRPr="006A05F6">
        <w:t xml:space="preserve"> To be clear, because the Code is binding on</w:t>
      </w:r>
      <w:r w:rsidR="0028578B">
        <w:t xml:space="preserve"> designated</w:t>
      </w:r>
      <w:r w:rsidR="006A05F6" w:rsidRPr="006A05F6">
        <w:t xml:space="preserve"> retailers, this section is primarily limiting the ability of </w:t>
      </w:r>
      <w:r w:rsidR="0028578B">
        <w:t>designated</w:t>
      </w:r>
      <w:r w:rsidR="0028578B" w:rsidRPr="006A05F6">
        <w:t xml:space="preserve"> </w:t>
      </w:r>
      <w:r w:rsidR="006A05F6" w:rsidRPr="006A05F6">
        <w:t>retailers to make unilateral</w:t>
      </w:r>
      <w:r w:rsidR="00C60641">
        <w:t xml:space="preserve"> variations</w:t>
      </w:r>
      <w:r w:rsidR="006A05F6" w:rsidRPr="006A05F6">
        <w:t xml:space="preserve"> or retrospective changes to supply agreements.</w:t>
      </w:r>
    </w:p>
    <w:p w14:paraId="01A0A1BA" w14:textId="272FF2D9" w:rsidR="00044211" w:rsidRDefault="003F166E" w:rsidP="00870AC1">
      <w:pPr>
        <w:pStyle w:val="Numbered"/>
      </w:pPr>
      <w:r>
        <w:t>U</w:t>
      </w:r>
      <w:r w:rsidRPr="0041654A">
        <w:t>nilateral</w:t>
      </w:r>
      <w:r w:rsidR="00C60641" w:rsidRPr="00C60641">
        <w:t xml:space="preserve"> </w:t>
      </w:r>
      <w:r w:rsidR="00C60641" w:rsidRPr="0041654A">
        <w:t>variations</w:t>
      </w:r>
      <w:r w:rsidRPr="0041654A">
        <w:t xml:space="preserve"> </w:t>
      </w:r>
      <w:r>
        <w:t>or r</w:t>
      </w:r>
      <w:r w:rsidR="00044211" w:rsidRPr="0041654A">
        <w:t xml:space="preserve">etrospective variations </w:t>
      </w:r>
      <w:r w:rsidR="00C60641">
        <w:t>to grocery</w:t>
      </w:r>
      <w:r w:rsidR="00C60641" w:rsidRPr="0041654A">
        <w:t xml:space="preserve"> </w:t>
      </w:r>
      <w:r w:rsidR="00044211" w:rsidRPr="0041654A">
        <w:t xml:space="preserve">supply agreements </w:t>
      </w:r>
      <w:r>
        <w:t xml:space="preserve">can be </w:t>
      </w:r>
      <w:r w:rsidR="00044211" w:rsidRPr="0041654A">
        <w:t xml:space="preserve">used </w:t>
      </w:r>
      <w:r w:rsidR="006458D0" w:rsidRPr="0041654A">
        <w:t xml:space="preserve">by one party to a supply arrangement to the detriment of the other party. </w:t>
      </w:r>
      <w:r>
        <w:t>For example</w:t>
      </w:r>
      <w:r w:rsidR="007727F7">
        <w:t>,</w:t>
      </w:r>
      <w:r>
        <w:t xml:space="preserve"> a retailer changing a supply agreement to modify the </w:t>
      </w:r>
      <w:r w:rsidR="007727F7">
        <w:t xml:space="preserve">payments </w:t>
      </w:r>
      <w:r w:rsidR="00C60641">
        <w:t xml:space="preserve">a supplier must make </w:t>
      </w:r>
      <w:r w:rsidR="007727F7">
        <w:t xml:space="preserve">for merchandising services that have already been provided </w:t>
      </w:r>
      <w:r w:rsidR="00C60641">
        <w:t>to</w:t>
      </w:r>
      <w:r w:rsidR="007727F7">
        <w:t xml:space="preserve"> a </w:t>
      </w:r>
      <w:r w:rsidR="00C60641">
        <w:t>higher</w:t>
      </w:r>
      <w:r w:rsidR="007727F7">
        <w:t xml:space="preserve"> rate than was agreed (a retrospective variation). </w:t>
      </w:r>
      <w:r w:rsidR="00522A68">
        <w:t>However, not all unilateral variations are detrimental</w:t>
      </w:r>
      <w:r w:rsidR="0028578B">
        <w:t>. T</w:t>
      </w:r>
      <w:r w:rsidR="00522A68">
        <w:t>here may be some instances where they are efficient and beneficial to both parties</w:t>
      </w:r>
      <w:r w:rsidR="00D66EBA">
        <w:t xml:space="preserve"> such as paying promotional costs via remittance rather than invoicing </w:t>
      </w:r>
      <w:r w:rsidR="0028578B">
        <w:t>which is</w:t>
      </w:r>
      <w:r w:rsidR="00D66EBA">
        <w:t xml:space="preserve"> simpler and more </w:t>
      </w:r>
      <w:r w:rsidR="009D6939">
        <w:t>cost-effective</w:t>
      </w:r>
      <w:r w:rsidR="00522A68">
        <w:t>.</w:t>
      </w:r>
    </w:p>
    <w:p w14:paraId="6241D6FB" w14:textId="176EAA19" w:rsidR="00E47CED" w:rsidRPr="0041654A" w:rsidRDefault="0028578B" w:rsidP="00870AC1">
      <w:pPr>
        <w:pStyle w:val="Numbered"/>
      </w:pPr>
      <w:r>
        <w:t>P</w:t>
      </w:r>
      <w:r w:rsidR="00E47CED">
        <w:t xml:space="preserve">rohibiting a </w:t>
      </w:r>
      <w:r>
        <w:t xml:space="preserve">designated </w:t>
      </w:r>
      <w:r w:rsidR="00E47CED">
        <w:t xml:space="preserve">retailer from making a </w:t>
      </w:r>
      <w:r w:rsidR="00E47CED" w:rsidRPr="00C04B21">
        <w:t xml:space="preserve">retrospective variation </w:t>
      </w:r>
      <w:r w:rsidR="00E47CED">
        <w:t>does not stop a retailer and supp</w:t>
      </w:r>
      <w:r w:rsidR="00C60641">
        <w:t>l</w:t>
      </w:r>
      <w:r w:rsidR="00797F82">
        <w:t>ier</w:t>
      </w:r>
      <w:r w:rsidR="00E47CED">
        <w:t xml:space="preserve"> from jointly agreeing to make </w:t>
      </w:r>
      <w:r w:rsidR="006E56CE">
        <w:t xml:space="preserve">such a </w:t>
      </w:r>
      <w:r w:rsidR="00E47CED">
        <w:t xml:space="preserve">change to a </w:t>
      </w:r>
      <w:r w:rsidR="00C60641">
        <w:t xml:space="preserve">grocery </w:t>
      </w:r>
      <w:r w:rsidR="00E47CED">
        <w:t xml:space="preserve">supply agreement. </w:t>
      </w:r>
    </w:p>
    <w:p w14:paraId="5DD10355" w14:textId="77138029" w:rsidR="00C80BE9" w:rsidRPr="00162A04" w:rsidRDefault="00C80BE9">
      <w:pPr>
        <w:pStyle w:val="Numbered"/>
      </w:pPr>
      <w:bookmarkStart w:id="132" w:name="_Hlk103866650"/>
      <w:r>
        <w:t>T</w:t>
      </w:r>
      <w:r w:rsidRPr="00870AC1">
        <w:t xml:space="preserve">he Commission </w:t>
      </w:r>
      <w:r w:rsidR="00797F82">
        <w:t>recommended</w:t>
      </w:r>
      <w:r w:rsidRPr="00870AC1">
        <w:t xml:space="preserve"> that </w:t>
      </w:r>
      <w:r w:rsidR="00877D9C">
        <w:t xml:space="preserve">– if they were to be permitted at all – </w:t>
      </w:r>
      <w:r>
        <w:t xml:space="preserve">unilateral variations should only be permitted to occur </w:t>
      </w:r>
      <w:r w:rsidR="00BB0FED">
        <w:t>in limited circumstances</w:t>
      </w:r>
      <w:r w:rsidRPr="00870AC1">
        <w:t>.</w:t>
      </w:r>
      <w:r w:rsidRPr="00AC02D1">
        <w:rPr>
          <w:vertAlign w:val="superscript"/>
        </w:rPr>
        <w:footnoteReference w:id="21"/>
      </w:r>
      <w:r w:rsidRPr="00C80BE9">
        <w:t xml:space="preserve"> </w:t>
      </w:r>
      <w:r w:rsidRPr="00870AC1">
        <w:t xml:space="preserve">The Commission </w:t>
      </w:r>
      <w:r>
        <w:t xml:space="preserve">also </w:t>
      </w:r>
      <w:r w:rsidR="00797F82">
        <w:t>recommended</w:t>
      </w:r>
      <w:r w:rsidRPr="00870AC1">
        <w:t xml:space="preserve"> that retrospective variations, including requests for additional payments outside of the original terms, were unlikely to be justifiable. </w:t>
      </w:r>
    </w:p>
    <w:p w14:paraId="4F78CBE7" w14:textId="12F1074F" w:rsidR="00870AC1" w:rsidRDefault="0028578B">
      <w:pPr>
        <w:pStyle w:val="Numbered"/>
      </w:pPr>
      <w:r>
        <w:t>T</w:t>
      </w:r>
      <w:r w:rsidR="00C80BE9">
        <w:t xml:space="preserve">he UK </w:t>
      </w:r>
      <w:r w:rsidR="00C60641">
        <w:t xml:space="preserve">Code </w:t>
      </w:r>
      <w:r w:rsidR="00C80BE9">
        <w:t xml:space="preserve">and </w:t>
      </w:r>
      <w:r w:rsidR="00C60641">
        <w:t xml:space="preserve">the </w:t>
      </w:r>
      <w:r w:rsidR="00C80BE9">
        <w:t xml:space="preserve">Australian Code </w:t>
      </w:r>
      <w:r w:rsidR="00797F82">
        <w:t>both</w:t>
      </w:r>
      <w:r w:rsidR="00C80BE9">
        <w:t xml:space="preserve"> limit</w:t>
      </w:r>
      <w:r w:rsidR="00DF41D7">
        <w:t xml:space="preserve"> </w:t>
      </w:r>
      <w:r>
        <w:t xml:space="preserve">the use of </w:t>
      </w:r>
      <w:r w:rsidR="00C80BE9">
        <w:t>unilateral variations and retrospective variations</w:t>
      </w:r>
      <w:r w:rsidR="00C60641">
        <w:t xml:space="preserve"> in their own way</w:t>
      </w:r>
      <w:r w:rsidR="00C80BE9">
        <w:t>.</w:t>
      </w:r>
    </w:p>
    <w:tbl>
      <w:tblPr>
        <w:tblStyle w:val="TableGrid"/>
        <w:tblW w:w="9212" w:type="dxa"/>
        <w:tblInd w:w="-142" w:type="dxa"/>
        <w:tblLook w:val="04A0" w:firstRow="1" w:lastRow="0" w:firstColumn="1" w:lastColumn="0" w:noHBand="0" w:noVBand="1"/>
      </w:tblPr>
      <w:tblGrid>
        <w:gridCol w:w="9212"/>
      </w:tblGrid>
      <w:tr w:rsidR="00870AC1" w14:paraId="14F84C9C" w14:textId="77777777" w:rsidTr="00B8298C">
        <w:tc>
          <w:tcPr>
            <w:tcW w:w="9212" w:type="dxa"/>
            <w:tcBorders>
              <w:top w:val="nil"/>
              <w:left w:val="nil"/>
              <w:bottom w:val="nil"/>
              <w:right w:val="nil"/>
            </w:tcBorders>
            <w:shd w:val="clear" w:color="auto" w:fill="auto"/>
          </w:tcPr>
          <w:tbl>
            <w:tblPr>
              <w:tblStyle w:val="TableGrid"/>
              <w:tblW w:w="9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Look w:val="04A0" w:firstRow="1" w:lastRow="0" w:firstColumn="1" w:lastColumn="0" w:noHBand="0" w:noVBand="1"/>
            </w:tblPr>
            <w:tblGrid>
              <w:gridCol w:w="4006"/>
              <w:gridCol w:w="5102"/>
            </w:tblGrid>
            <w:tr w:rsidR="0077423D" w14:paraId="5FB1C92B" w14:textId="77777777" w:rsidTr="000864F7">
              <w:trPr>
                <w:cantSplit/>
                <w:trHeight w:val="250"/>
              </w:trPr>
              <w:tc>
                <w:tcPr>
                  <w:tcW w:w="2199" w:type="pct"/>
                  <w:shd w:val="clear" w:color="auto" w:fill="D9D9D9" w:themeFill="background1" w:themeFillShade="D9"/>
                </w:tcPr>
                <w:bookmarkEnd w:id="132"/>
                <w:p w14:paraId="1152506F" w14:textId="77777777" w:rsidR="0077423D" w:rsidRDefault="0077423D" w:rsidP="004B011C">
                  <w:pPr>
                    <w:jc w:val="center"/>
                    <w:rPr>
                      <w:b/>
                      <w:bCs/>
                      <w:sz w:val="20"/>
                      <w:szCs w:val="20"/>
                    </w:rPr>
                  </w:pPr>
                  <w:r w:rsidRPr="00A52685">
                    <w:rPr>
                      <w:b/>
                      <w:bCs/>
                      <w:sz w:val="20"/>
                      <w:szCs w:val="20"/>
                    </w:rPr>
                    <w:t>UK</w:t>
                  </w:r>
                </w:p>
              </w:tc>
              <w:tc>
                <w:tcPr>
                  <w:tcW w:w="2801" w:type="pct"/>
                  <w:shd w:val="clear" w:color="auto" w:fill="D9D9D9" w:themeFill="background1" w:themeFillShade="D9"/>
                </w:tcPr>
                <w:p w14:paraId="1DE47038" w14:textId="77777777" w:rsidR="0077423D" w:rsidRDefault="0077423D" w:rsidP="004B011C">
                  <w:pPr>
                    <w:jc w:val="center"/>
                    <w:rPr>
                      <w:b/>
                      <w:bCs/>
                      <w:sz w:val="20"/>
                      <w:szCs w:val="20"/>
                    </w:rPr>
                  </w:pPr>
                  <w:r>
                    <w:rPr>
                      <w:b/>
                      <w:bCs/>
                      <w:sz w:val="20"/>
                      <w:szCs w:val="20"/>
                    </w:rPr>
                    <w:t>Australia</w:t>
                  </w:r>
                </w:p>
              </w:tc>
            </w:tr>
            <w:tr w:rsidR="00162A04" w14:paraId="283B2FA6" w14:textId="77777777" w:rsidTr="00BB0FED">
              <w:trPr>
                <w:trHeight w:val="411"/>
              </w:trPr>
              <w:tc>
                <w:tcPr>
                  <w:tcW w:w="2199" w:type="pct"/>
                  <w:shd w:val="clear" w:color="auto" w:fill="D9D9D9" w:themeFill="background1" w:themeFillShade="D9"/>
                </w:tcPr>
                <w:p w14:paraId="040F268E" w14:textId="07B21144" w:rsidR="00162A04" w:rsidRPr="0077423D" w:rsidRDefault="00162A04" w:rsidP="00162A04">
                  <w:pPr>
                    <w:rPr>
                      <w:b/>
                      <w:bCs/>
                      <w:sz w:val="20"/>
                      <w:szCs w:val="20"/>
                    </w:rPr>
                  </w:pPr>
                  <w:r w:rsidRPr="0077423D">
                    <w:rPr>
                      <w:b/>
                      <w:bCs/>
                      <w:sz w:val="20"/>
                      <w:szCs w:val="20"/>
                    </w:rPr>
                    <w:t xml:space="preserve">Unilateral variations </w:t>
                  </w:r>
                  <w:r w:rsidR="00B8298C">
                    <w:rPr>
                      <w:b/>
                      <w:bCs/>
                      <w:sz w:val="20"/>
                      <w:szCs w:val="20"/>
                    </w:rPr>
                    <w:t>(</w:t>
                  </w:r>
                  <w:r w:rsidR="00C60641">
                    <w:rPr>
                      <w:b/>
                      <w:bCs/>
                      <w:sz w:val="20"/>
                      <w:szCs w:val="20"/>
                    </w:rPr>
                    <w:t xml:space="preserve">UK </w:t>
                  </w:r>
                  <w:r w:rsidR="00B8298C">
                    <w:rPr>
                      <w:b/>
                      <w:bCs/>
                      <w:sz w:val="20"/>
                      <w:szCs w:val="20"/>
                    </w:rPr>
                    <w:t>Code, article 3)</w:t>
                  </w:r>
                </w:p>
                <w:p w14:paraId="1246DA53" w14:textId="3EAC0BEF" w:rsidR="00162A04" w:rsidRDefault="00155FC8" w:rsidP="008E27CD">
                  <w:pPr>
                    <w:rPr>
                      <w:sz w:val="20"/>
                      <w:szCs w:val="20"/>
                    </w:rPr>
                  </w:pPr>
                  <w:r>
                    <w:rPr>
                      <w:sz w:val="20"/>
                      <w:szCs w:val="20"/>
                    </w:rPr>
                    <w:t>Must give reasonable notice</w:t>
                  </w:r>
                  <w:r w:rsidR="00C60641">
                    <w:rPr>
                      <w:sz w:val="20"/>
                      <w:szCs w:val="20"/>
                    </w:rPr>
                    <w:t>.</w:t>
                  </w:r>
                </w:p>
                <w:p w14:paraId="524DAA29" w14:textId="77777777" w:rsidR="008E27CD" w:rsidRDefault="008E27CD">
                  <w:pPr>
                    <w:rPr>
                      <w:b/>
                      <w:bCs/>
                      <w:sz w:val="20"/>
                      <w:szCs w:val="20"/>
                    </w:rPr>
                  </w:pPr>
                </w:p>
                <w:p w14:paraId="62F055EA" w14:textId="49C7307E" w:rsidR="0018010A" w:rsidRDefault="00162A04">
                  <w:pPr>
                    <w:rPr>
                      <w:b/>
                      <w:bCs/>
                      <w:sz w:val="20"/>
                      <w:szCs w:val="20"/>
                    </w:rPr>
                  </w:pPr>
                  <w:r w:rsidRPr="0077423D">
                    <w:rPr>
                      <w:b/>
                      <w:bCs/>
                      <w:sz w:val="20"/>
                      <w:szCs w:val="20"/>
                    </w:rPr>
                    <w:t xml:space="preserve">Retrospective variations </w:t>
                  </w:r>
                  <w:r>
                    <w:rPr>
                      <w:b/>
                      <w:bCs/>
                      <w:sz w:val="20"/>
                      <w:szCs w:val="20"/>
                    </w:rPr>
                    <w:t>(</w:t>
                  </w:r>
                  <w:r w:rsidR="00C60641">
                    <w:rPr>
                      <w:b/>
                      <w:bCs/>
                      <w:sz w:val="20"/>
                      <w:szCs w:val="20"/>
                    </w:rPr>
                    <w:t xml:space="preserve">UK </w:t>
                  </w:r>
                  <w:r>
                    <w:rPr>
                      <w:b/>
                      <w:bCs/>
                      <w:sz w:val="20"/>
                      <w:szCs w:val="20"/>
                    </w:rPr>
                    <w:t>Code, article 3)</w:t>
                  </w:r>
                </w:p>
                <w:p w14:paraId="5C8365C0" w14:textId="22A5978B" w:rsidR="00162A04" w:rsidRPr="0077423D" w:rsidRDefault="00C80BE9" w:rsidP="00C60641">
                  <w:pPr>
                    <w:rPr>
                      <w:b/>
                      <w:bCs/>
                      <w:sz w:val="20"/>
                      <w:szCs w:val="20"/>
                    </w:rPr>
                  </w:pPr>
                  <w:r>
                    <w:rPr>
                      <w:sz w:val="20"/>
                      <w:szCs w:val="20"/>
                    </w:rPr>
                    <w:t>Prohibited except where specifically set out in supply agreement with sufficient detail.</w:t>
                  </w:r>
                </w:p>
              </w:tc>
              <w:tc>
                <w:tcPr>
                  <w:tcW w:w="2801" w:type="pct"/>
                  <w:shd w:val="clear" w:color="auto" w:fill="D9D9D9" w:themeFill="background1" w:themeFillShade="D9"/>
                </w:tcPr>
                <w:p w14:paraId="41DE650E" w14:textId="4E499F72" w:rsidR="00162A04" w:rsidRPr="0077423D" w:rsidRDefault="00162A04" w:rsidP="00162A04">
                  <w:pPr>
                    <w:rPr>
                      <w:b/>
                      <w:bCs/>
                      <w:sz w:val="20"/>
                      <w:szCs w:val="20"/>
                    </w:rPr>
                  </w:pPr>
                  <w:r w:rsidRPr="0077423D">
                    <w:rPr>
                      <w:b/>
                      <w:bCs/>
                      <w:sz w:val="20"/>
                      <w:szCs w:val="20"/>
                    </w:rPr>
                    <w:t>Unilateral variations</w:t>
                  </w:r>
                  <w:r>
                    <w:rPr>
                      <w:b/>
                      <w:bCs/>
                      <w:sz w:val="20"/>
                      <w:szCs w:val="20"/>
                    </w:rPr>
                    <w:t xml:space="preserve"> (</w:t>
                  </w:r>
                  <w:r w:rsidR="00C60641">
                    <w:rPr>
                      <w:b/>
                      <w:bCs/>
                      <w:sz w:val="20"/>
                      <w:szCs w:val="20"/>
                    </w:rPr>
                    <w:t xml:space="preserve">Australian Code </w:t>
                  </w:r>
                  <w:r>
                    <w:rPr>
                      <w:b/>
                      <w:bCs/>
                      <w:sz w:val="20"/>
                      <w:szCs w:val="20"/>
                    </w:rPr>
                    <w:t>Section 9)</w:t>
                  </w:r>
                </w:p>
                <w:p w14:paraId="1E572120" w14:textId="24887F39" w:rsidR="00162A04" w:rsidRDefault="00155FC8" w:rsidP="008E27CD">
                  <w:pPr>
                    <w:rPr>
                      <w:sz w:val="20"/>
                      <w:szCs w:val="20"/>
                    </w:rPr>
                  </w:pPr>
                  <w:r>
                    <w:rPr>
                      <w:sz w:val="20"/>
                      <w:szCs w:val="20"/>
                    </w:rPr>
                    <w:t>Prohibited except where specifically set out in supply agreement with sufficient detail</w:t>
                  </w:r>
                  <w:r w:rsidR="00C80BE9">
                    <w:rPr>
                      <w:sz w:val="20"/>
                      <w:szCs w:val="20"/>
                    </w:rPr>
                    <w:t xml:space="preserve"> and reasonable in the circumstances. </w:t>
                  </w:r>
                  <w:r w:rsidR="00E47CED">
                    <w:rPr>
                      <w:sz w:val="20"/>
                      <w:szCs w:val="20"/>
                    </w:rPr>
                    <w:t>Reasonable notice must be given.</w:t>
                  </w:r>
                </w:p>
                <w:p w14:paraId="0F9E83BF" w14:textId="77777777" w:rsidR="00162A04" w:rsidRDefault="00162A04" w:rsidP="00162A04">
                  <w:pPr>
                    <w:rPr>
                      <w:sz w:val="20"/>
                      <w:szCs w:val="20"/>
                    </w:rPr>
                  </w:pPr>
                </w:p>
                <w:p w14:paraId="7BD3888C" w14:textId="4E662446" w:rsidR="00162A04" w:rsidRPr="00B8298C" w:rsidRDefault="00162A04" w:rsidP="00162A04">
                  <w:pPr>
                    <w:rPr>
                      <w:b/>
                      <w:bCs/>
                      <w:sz w:val="20"/>
                      <w:szCs w:val="20"/>
                    </w:rPr>
                  </w:pPr>
                  <w:r w:rsidRPr="0077423D">
                    <w:rPr>
                      <w:b/>
                      <w:bCs/>
                      <w:sz w:val="20"/>
                      <w:szCs w:val="20"/>
                    </w:rPr>
                    <w:t>Retrospective variations</w:t>
                  </w:r>
                  <w:r>
                    <w:rPr>
                      <w:b/>
                      <w:bCs/>
                      <w:sz w:val="20"/>
                      <w:szCs w:val="20"/>
                    </w:rPr>
                    <w:t xml:space="preserve"> (</w:t>
                  </w:r>
                  <w:r w:rsidR="00C60641">
                    <w:rPr>
                      <w:b/>
                      <w:bCs/>
                      <w:sz w:val="20"/>
                      <w:szCs w:val="20"/>
                    </w:rPr>
                    <w:t xml:space="preserve">Australian Code </w:t>
                  </w:r>
                  <w:r>
                    <w:rPr>
                      <w:b/>
                      <w:bCs/>
                      <w:sz w:val="20"/>
                      <w:szCs w:val="20"/>
                    </w:rPr>
                    <w:t>Section 10)</w:t>
                  </w:r>
                </w:p>
                <w:p w14:paraId="37E35B88" w14:textId="414296F9" w:rsidR="00162A04" w:rsidRPr="0077423D" w:rsidRDefault="00C80BE9" w:rsidP="00663D66">
                  <w:pPr>
                    <w:rPr>
                      <w:b/>
                      <w:bCs/>
                      <w:sz w:val="20"/>
                      <w:szCs w:val="20"/>
                    </w:rPr>
                  </w:pPr>
                  <w:r>
                    <w:rPr>
                      <w:sz w:val="20"/>
                      <w:szCs w:val="20"/>
                    </w:rPr>
                    <w:t>Prohibited</w:t>
                  </w:r>
                  <w:r w:rsidR="00AB1271">
                    <w:rPr>
                      <w:sz w:val="20"/>
                      <w:szCs w:val="20"/>
                    </w:rPr>
                    <w:t>.</w:t>
                  </w:r>
                </w:p>
              </w:tc>
            </w:tr>
          </w:tbl>
          <w:p w14:paraId="0D1C626B" w14:textId="77777777" w:rsidR="00870AC1" w:rsidRDefault="00870AC1" w:rsidP="004B011C">
            <w:pPr>
              <w:pStyle w:val="Numbered"/>
              <w:numPr>
                <w:ilvl w:val="0"/>
                <w:numId w:val="0"/>
              </w:numPr>
            </w:pPr>
          </w:p>
        </w:tc>
      </w:tr>
    </w:tbl>
    <w:p w14:paraId="259958D4" w14:textId="0FEBF2BF" w:rsidR="00044211" w:rsidRPr="00870AC1" w:rsidRDefault="00870AC1" w:rsidP="0069036A">
      <w:pPr>
        <w:pStyle w:val="Numbered"/>
      </w:pPr>
      <w:r w:rsidRPr="00870AC1">
        <w:lastRenderedPageBreak/>
        <w:t xml:space="preserve">Considering these matters, we identify </w:t>
      </w:r>
      <w:r w:rsidR="00F12266">
        <w:t>two</w:t>
      </w:r>
      <w:r w:rsidRPr="00870AC1">
        <w:t xml:space="preserve"> options</w:t>
      </w:r>
      <w:r w:rsidR="0028578B">
        <w:t>:</w:t>
      </w:r>
    </w:p>
    <w:tbl>
      <w:tblPr>
        <w:tblStyle w:val="TableGrid"/>
        <w:tblW w:w="9214"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4253"/>
        <w:gridCol w:w="4961"/>
      </w:tblGrid>
      <w:tr w:rsidR="00F51EE9" w:rsidRPr="00D3390A" w14:paraId="10F7930D" w14:textId="77777777" w:rsidTr="00652FEB">
        <w:tc>
          <w:tcPr>
            <w:tcW w:w="4253" w:type="dxa"/>
            <w:shd w:val="clear" w:color="auto" w:fill="B3D0D5"/>
          </w:tcPr>
          <w:p w14:paraId="1D31EEEC" w14:textId="77777777" w:rsidR="00F51EE9" w:rsidRPr="00243358" w:rsidRDefault="00F51EE9" w:rsidP="00A41558">
            <w:pPr>
              <w:pStyle w:val="Numbered"/>
              <w:numPr>
                <w:ilvl w:val="0"/>
                <w:numId w:val="0"/>
              </w:numPr>
              <w:spacing w:before="0"/>
              <w:contextualSpacing/>
              <w:rPr>
                <w:sz w:val="20"/>
                <w:szCs w:val="20"/>
              </w:rPr>
            </w:pPr>
            <w:r w:rsidRPr="00243358">
              <w:rPr>
                <w:b/>
                <w:bCs/>
                <w:sz w:val="20"/>
                <w:szCs w:val="20"/>
              </w:rPr>
              <w:t xml:space="preserve">Option 1 (Principle-based Code): </w:t>
            </w:r>
          </w:p>
        </w:tc>
        <w:tc>
          <w:tcPr>
            <w:tcW w:w="4961" w:type="dxa"/>
            <w:shd w:val="clear" w:color="auto" w:fill="B3D0D5"/>
          </w:tcPr>
          <w:p w14:paraId="7BC6B415" w14:textId="6EEE2C28" w:rsidR="00F51EE9" w:rsidRPr="00243358" w:rsidRDefault="00D3390A">
            <w:pPr>
              <w:pStyle w:val="Numbered"/>
              <w:numPr>
                <w:ilvl w:val="0"/>
                <w:numId w:val="0"/>
              </w:numPr>
              <w:spacing w:before="0"/>
              <w:contextualSpacing/>
              <w:rPr>
                <w:sz w:val="20"/>
                <w:szCs w:val="20"/>
              </w:rPr>
            </w:pPr>
            <w:r w:rsidRPr="00D3390A">
              <w:rPr>
                <w:b/>
                <w:bCs/>
                <w:sz w:val="20"/>
                <w:szCs w:val="20"/>
              </w:rPr>
              <w:t>Option 2 (Prescriptive Code)</w:t>
            </w:r>
            <w:r w:rsidR="00243358">
              <w:rPr>
                <w:b/>
                <w:bCs/>
                <w:sz w:val="20"/>
                <w:szCs w:val="20"/>
              </w:rPr>
              <w:t xml:space="preserve"> &amp; Option 3 </w:t>
            </w:r>
            <w:r w:rsidR="00877D9C">
              <w:rPr>
                <w:b/>
                <w:bCs/>
                <w:sz w:val="20"/>
                <w:szCs w:val="20"/>
              </w:rPr>
              <w:t>(</w:t>
            </w:r>
            <w:r w:rsidR="00243358" w:rsidRPr="00243358">
              <w:rPr>
                <w:b/>
                <w:bCs/>
                <w:sz w:val="20"/>
                <w:szCs w:val="20"/>
              </w:rPr>
              <w:t>Alternative Code</w:t>
            </w:r>
            <w:r w:rsidR="00877D9C">
              <w:rPr>
                <w:b/>
                <w:bCs/>
                <w:sz w:val="20"/>
                <w:szCs w:val="20"/>
              </w:rPr>
              <w:t>)</w:t>
            </w:r>
            <w:r w:rsidR="00243358">
              <w:rPr>
                <w:b/>
                <w:bCs/>
                <w:sz w:val="20"/>
                <w:szCs w:val="20"/>
              </w:rPr>
              <w:t>:</w:t>
            </w:r>
          </w:p>
        </w:tc>
      </w:tr>
      <w:tr w:rsidR="00F12266" w:rsidRPr="00A37043" w14:paraId="7F9746A6" w14:textId="77777777" w:rsidTr="00652FEB">
        <w:tc>
          <w:tcPr>
            <w:tcW w:w="4253" w:type="dxa"/>
            <w:shd w:val="clear" w:color="auto" w:fill="B3D0D5"/>
          </w:tcPr>
          <w:p w14:paraId="3E3E795C" w14:textId="515248C1" w:rsidR="00A41558" w:rsidRDefault="00DF41D7" w:rsidP="008F0AFE">
            <w:pPr>
              <w:pStyle w:val="Numbered"/>
              <w:numPr>
                <w:ilvl w:val="0"/>
                <w:numId w:val="0"/>
              </w:numPr>
              <w:spacing w:before="0" w:after="120"/>
              <w:contextualSpacing/>
            </w:pPr>
            <w:r>
              <w:rPr>
                <w:sz w:val="20"/>
                <w:szCs w:val="20"/>
              </w:rPr>
              <w:t xml:space="preserve">If </w:t>
            </w:r>
            <w:r w:rsidR="00C60641">
              <w:rPr>
                <w:sz w:val="20"/>
                <w:szCs w:val="20"/>
              </w:rPr>
              <w:t xml:space="preserve">designated </w:t>
            </w:r>
            <w:r>
              <w:rPr>
                <w:sz w:val="20"/>
                <w:szCs w:val="20"/>
              </w:rPr>
              <w:t xml:space="preserve">retailer can make </w:t>
            </w:r>
            <w:r w:rsidR="008E27CD">
              <w:rPr>
                <w:b/>
                <w:bCs/>
                <w:sz w:val="20"/>
                <w:szCs w:val="20"/>
              </w:rPr>
              <w:t>unilateral variations</w:t>
            </w:r>
            <w:r w:rsidR="00DB43F9">
              <w:rPr>
                <w:b/>
                <w:bCs/>
                <w:sz w:val="20"/>
                <w:szCs w:val="20"/>
              </w:rPr>
              <w:t>,</w:t>
            </w:r>
            <w:r w:rsidR="00C80BE9" w:rsidRPr="00652FEB">
              <w:rPr>
                <w:sz w:val="20"/>
                <w:szCs w:val="20"/>
              </w:rPr>
              <w:t xml:space="preserve"> </w:t>
            </w:r>
            <w:r>
              <w:rPr>
                <w:sz w:val="20"/>
                <w:szCs w:val="20"/>
              </w:rPr>
              <w:t xml:space="preserve">it </w:t>
            </w:r>
            <w:r w:rsidR="0069036A" w:rsidRPr="00652FEB">
              <w:rPr>
                <w:sz w:val="20"/>
                <w:szCs w:val="20"/>
              </w:rPr>
              <w:t>must provide reasonable notice</w:t>
            </w:r>
            <w:r w:rsidR="00C80BE9" w:rsidRPr="00652FEB">
              <w:rPr>
                <w:sz w:val="20"/>
                <w:szCs w:val="20"/>
              </w:rPr>
              <w:t>.</w:t>
            </w:r>
            <w:r w:rsidR="0069036A" w:rsidRPr="00652FEB">
              <w:rPr>
                <w:sz w:val="20"/>
                <w:szCs w:val="20"/>
              </w:rPr>
              <w:t xml:space="preserve"> </w:t>
            </w:r>
          </w:p>
          <w:p w14:paraId="2FAE821E" w14:textId="75DFAD6E" w:rsidR="00F12266" w:rsidRPr="00A41558" w:rsidRDefault="00C80BE9" w:rsidP="008F0AFE">
            <w:pPr>
              <w:spacing w:after="120"/>
              <w:rPr>
                <w:b/>
                <w:bCs/>
              </w:rPr>
            </w:pPr>
            <w:r w:rsidRPr="00652FEB">
              <w:rPr>
                <w:sz w:val="20"/>
                <w:szCs w:val="20"/>
              </w:rPr>
              <w:t xml:space="preserve">Prohibit </w:t>
            </w:r>
            <w:r w:rsidRPr="00DF41D7">
              <w:rPr>
                <w:b/>
                <w:bCs/>
                <w:sz w:val="20"/>
                <w:szCs w:val="20"/>
              </w:rPr>
              <w:t>retrospective variations</w:t>
            </w:r>
            <w:r w:rsidR="002D346B">
              <w:rPr>
                <w:b/>
                <w:bCs/>
                <w:sz w:val="20"/>
                <w:szCs w:val="20"/>
              </w:rPr>
              <w:t>.</w:t>
            </w:r>
          </w:p>
        </w:tc>
        <w:tc>
          <w:tcPr>
            <w:tcW w:w="4961" w:type="dxa"/>
            <w:shd w:val="clear" w:color="auto" w:fill="B3D0D5"/>
          </w:tcPr>
          <w:p w14:paraId="49F121C2" w14:textId="5CBE01E2" w:rsidR="00A41558" w:rsidRDefault="00C80BE9" w:rsidP="008F0AFE">
            <w:pPr>
              <w:spacing w:after="120"/>
            </w:pPr>
            <w:r>
              <w:rPr>
                <w:sz w:val="20"/>
                <w:szCs w:val="20"/>
              </w:rPr>
              <w:t xml:space="preserve">Prohibit </w:t>
            </w:r>
            <w:r w:rsidR="008E27CD">
              <w:rPr>
                <w:b/>
                <w:bCs/>
                <w:sz w:val="20"/>
                <w:szCs w:val="20"/>
              </w:rPr>
              <w:t xml:space="preserve">unilateral variations </w:t>
            </w:r>
            <w:r>
              <w:rPr>
                <w:sz w:val="20"/>
                <w:szCs w:val="20"/>
              </w:rPr>
              <w:t>except where specifically set out in</w:t>
            </w:r>
            <w:r w:rsidR="00522A68">
              <w:rPr>
                <w:sz w:val="20"/>
                <w:szCs w:val="20"/>
              </w:rPr>
              <w:t xml:space="preserve"> the grocery</w:t>
            </w:r>
            <w:r>
              <w:rPr>
                <w:sz w:val="20"/>
                <w:szCs w:val="20"/>
              </w:rPr>
              <w:t xml:space="preserve"> supply agreement with sufficient detail and reasonable in the circumstances. </w:t>
            </w:r>
            <w:r w:rsidR="00E47CED">
              <w:rPr>
                <w:sz w:val="20"/>
                <w:szCs w:val="20"/>
              </w:rPr>
              <w:t>Reasonable notice must be given.</w:t>
            </w:r>
          </w:p>
          <w:p w14:paraId="486C58CB" w14:textId="4B6E2914" w:rsidR="00F12266" w:rsidRPr="00A41558" w:rsidRDefault="00DF41D7" w:rsidP="008F0AFE">
            <w:pPr>
              <w:spacing w:after="120"/>
              <w:rPr>
                <w:b/>
                <w:bCs/>
                <w:sz w:val="20"/>
                <w:szCs w:val="20"/>
              </w:rPr>
            </w:pPr>
            <w:r w:rsidRPr="00652FEB">
              <w:rPr>
                <w:sz w:val="20"/>
                <w:szCs w:val="20"/>
              </w:rPr>
              <w:t>Prohibit</w:t>
            </w:r>
            <w:r>
              <w:rPr>
                <w:b/>
                <w:bCs/>
                <w:sz w:val="20"/>
                <w:szCs w:val="20"/>
              </w:rPr>
              <w:t xml:space="preserve"> r</w:t>
            </w:r>
            <w:r w:rsidR="00C80BE9">
              <w:rPr>
                <w:b/>
                <w:bCs/>
                <w:sz w:val="20"/>
                <w:szCs w:val="20"/>
              </w:rPr>
              <w:t>etrospective variations</w:t>
            </w:r>
            <w:r w:rsidR="002D346B">
              <w:rPr>
                <w:b/>
                <w:bCs/>
                <w:sz w:val="20"/>
                <w:szCs w:val="20"/>
              </w:rPr>
              <w:t>.</w:t>
            </w:r>
          </w:p>
        </w:tc>
      </w:tr>
    </w:tbl>
    <w:p w14:paraId="242E5C56" w14:textId="77777777" w:rsidR="00522A68" w:rsidRDefault="00522A68" w:rsidP="00C80BE9">
      <w:pPr>
        <w:pStyle w:val="Numbered"/>
      </w:pPr>
      <w:bookmarkStart w:id="133" w:name="_Toc103173699"/>
      <w:r>
        <w:t xml:space="preserve">Both </w:t>
      </w:r>
      <w:r>
        <w:rPr>
          <w:b/>
          <w:bCs/>
        </w:rPr>
        <w:t xml:space="preserve">Option 1 </w:t>
      </w:r>
      <w:r>
        <w:t xml:space="preserve">and </w:t>
      </w:r>
      <w:r>
        <w:rPr>
          <w:b/>
          <w:bCs/>
        </w:rPr>
        <w:t xml:space="preserve">Option 2 </w:t>
      </w:r>
      <w:r>
        <w:t xml:space="preserve">prohibit retrospective variations on the basis that they are detrimental to suppliers if forced upon them. </w:t>
      </w:r>
    </w:p>
    <w:p w14:paraId="55949468" w14:textId="77777777" w:rsidR="00522A68" w:rsidRDefault="00522A68" w:rsidP="00C80BE9">
      <w:pPr>
        <w:pStyle w:val="Numbered"/>
      </w:pPr>
      <w:r>
        <w:t>Unilateral variations are not prohibited outright, reflecting that they may provide some benefits. The instances when they may occur indicate the difference between the options:</w:t>
      </w:r>
    </w:p>
    <w:p w14:paraId="1B418E7C" w14:textId="0C281596" w:rsidR="00522A68" w:rsidRPr="00522A68" w:rsidRDefault="00522A68" w:rsidP="00522A68">
      <w:pPr>
        <w:pStyle w:val="Numbered"/>
        <w:numPr>
          <w:ilvl w:val="1"/>
          <w:numId w:val="1"/>
        </w:numPr>
      </w:pPr>
      <w:r>
        <w:rPr>
          <w:b/>
          <w:bCs/>
        </w:rPr>
        <w:t xml:space="preserve">Option 1 </w:t>
      </w:r>
      <w:r w:rsidR="0028578B">
        <w:t xml:space="preserve">is less effective but more efficient. It </w:t>
      </w:r>
      <w:r>
        <w:t>does not limit the ability of a designated retailer to make a unilateral variation, so long as it has the ability to do so (in the written grocery supply agreement) and as long as it provides reasonable notice of any such variation to the supplier</w:t>
      </w:r>
      <w:r w:rsidRPr="00522A68">
        <w:t xml:space="preserve"> </w:t>
      </w:r>
      <w:r>
        <w:t>to allow the supplier to adjust. This is a clear principle, and should be flexible and durable.</w:t>
      </w:r>
    </w:p>
    <w:p w14:paraId="30BD392B" w14:textId="77DB0FCA" w:rsidR="00E47CED" w:rsidRDefault="00C80BE9" w:rsidP="00522A68">
      <w:pPr>
        <w:pStyle w:val="Numbered"/>
        <w:numPr>
          <w:ilvl w:val="1"/>
          <w:numId w:val="1"/>
        </w:numPr>
      </w:pPr>
      <w:r>
        <w:rPr>
          <w:b/>
          <w:bCs/>
        </w:rPr>
        <w:t xml:space="preserve">Option 2 </w:t>
      </w:r>
      <w:r w:rsidR="00D66EBA" w:rsidRPr="00D66EBA">
        <w:t xml:space="preserve">is more </w:t>
      </w:r>
      <w:r w:rsidR="0028578B">
        <w:t xml:space="preserve">effective but potentially less durable. It </w:t>
      </w:r>
      <w:r w:rsidR="00D66EBA">
        <w:t xml:space="preserve">only allows </w:t>
      </w:r>
      <w:r w:rsidR="0028578B">
        <w:t>unilateral</w:t>
      </w:r>
      <w:r w:rsidR="00D66EBA">
        <w:t xml:space="preserve"> variation</w:t>
      </w:r>
      <w:r w:rsidR="0028578B">
        <w:t>s</w:t>
      </w:r>
      <w:r w:rsidR="00D66EBA">
        <w:t xml:space="preserve"> where specifically negotiated in the grocery supply agreement with sufficient detail, </w:t>
      </w:r>
      <w:r w:rsidR="0028578B">
        <w:t xml:space="preserve">and is </w:t>
      </w:r>
      <w:r w:rsidR="00D66EBA">
        <w:t xml:space="preserve">reasonable in the circumstances (considering the benefits, costs, and risks to the supplier) to protect the suppliers from pressure to accept terms and conditions of supply that are unfavourable. Reasonable notice is also required. This option </w:t>
      </w:r>
      <w:r w:rsidR="00782150">
        <w:t xml:space="preserve">is equally efficient as </w:t>
      </w:r>
      <w:r w:rsidR="00782150">
        <w:rPr>
          <w:b/>
          <w:bCs/>
        </w:rPr>
        <w:t>option 1</w:t>
      </w:r>
      <w:r w:rsidR="00782150">
        <w:t xml:space="preserve">, but only because it improves potential efficiency for suppliers at the expense of designated retailers by </w:t>
      </w:r>
      <w:r w:rsidR="00E47CED">
        <w:t>provid</w:t>
      </w:r>
      <w:r w:rsidR="00782150">
        <w:t>ing</w:t>
      </w:r>
      <w:r w:rsidR="00E47CED">
        <w:t xml:space="preserve"> the most certainty of the terms </w:t>
      </w:r>
      <w:r w:rsidR="002D346B">
        <w:t xml:space="preserve">and conditions </w:t>
      </w:r>
      <w:r w:rsidR="00E47CED">
        <w:t xml:space="preserve">of supply and </w:t>
      </w:r>
      <w:r w:rsidR="002D346B">
        <w:t>reduc</w:t>
      </w:r>
      <w:r w:rsidR="00782150">
        <w:t>ing</w:t>
      </w:r>
      <w:r w:rsidR="00E47CED">
        <w:t xml:space="preserve"> </w:t>
      </w:r>
      <w:r w:rsidR="0028578B">
        <w:t xml:space="preserve">the likelihood of </w:t>
      </w:r>
      <w:r w:rsidR="00E47CED">
        <w:t xml:space="preserve">risks and costs </w:t>
      </w:r>
      <w:r w:rsidR="0028578B">
        <w:t xml:space="preserve">being passed onto </w:t>
      </w:r>
      <w:r w:rsidR="00E47CED">
        <w:t xml:space="preserve">suppliers. </w:t>
      </w:r>
    </w:p>
    <w:p w14:paraId="1F890AD6" w14:textId="1FF65D37" w:rsidR="00AC67AF" w:rsidRDefault="00AC67AF" w:rsidP="00871288">
      <w:pPr>
        <w:pStyle w:val="Heading2"/>
        <w:tabs>
          <w:tab w:val="left" w:pos="567"/>
        </w:tabs>
      </w:pPr>
      <w:bookmarkStart w:id="134" w:name="_Toc104358659"/>
      <w:bookmarkStart w:id="135" w:name="_Toc107919639"/>
      <w:bookmarkEnd w:id="119"/>
      <w:bookmarkEnd w:id="133"/>
      <w:r>
        <w:t>5.</w:t>
      </w:r>
      <w:r w:rsidR="00E55D72">
        <w:t>4</w:t>
      </w:r>
      <w:r w:rsidR="00871288">
        <w:tab/>
      </w:r>
      <w:r w:rsidR="00861D0E">
        <w:t xml:space="preserve">Preliminary options </w:t>
      </w:r>
      <w:r>
        <w:t>analysis</w:t>
      </w:r>
      <w:bookmarkEnd w:id="134"/>
      <w:bookmarkEnd w:id="135"/>
    </w:p>
    <w:p w14:paraId="31233D02" w14:textId="24B54503" w:rsidR="00335395" w:rsidRDefault="00335395" w:rsidP="00335395">
      <w:pPr>
        <w:pStyle w:val="Numbered"/>
      </w:pPr>
      <w:r>
        <w:t>The following tables provide a</w:t>
      </w:r>
      <w:r w:rsidR="000D385E">
        <w:t xml:space="preserve">n overview of the </w:t>
      </w:r>
      <w:r w:rsidR="00D66EBA">
        <w:t>options</w:t>
      </w:r>
      <w:r w:rsidR="000D385E">
        <w:t xml:space="preserve"> considered in </w:t>
      </w:r>
      <w:r w:rsidR="00D66EBA">
        <w:t>the chapter</w:t>
      </w:r>
      <w:r w:rsidR="000D385E">
        <w:t>. These same options are then analysed against the criteria</w:t>
      </w:r>
      <w:r w:rsidR="00D66EBA">
        <w:t xml:space="preserve"> in the table below</w:t>
      </w:r>
      <w:r w:rsidR="000D385E">
        <w:t xml:space="preserve">. </w:t>
      </w:r>
    </w:p>
    <w:tbl>
      <w:tblPr>
        <w:tblStyle w:val="TableGrid"/>
        <w:tblW w:w="9214" w:type="dxa"/>
        <w:tblInd w:w="-5" w:type="dxa"/>
        <w:tblLayout w:type="fixed"/>
        <w:tblLook w:val="04A0" w:firstRow="1" w:lastRow="0" w:firstColumn="1" w:lastColumn="0" w:noHBand="0" w:noVBand="1"/>
      </w:tblPr>
      <w:tblGrid>
        <w:gridCol w:w="2835"/>
        <w:gridCol w:w="567"/>
        <w:gridCol w:w="851"/>
        <w:gridCol w:w="1134"/>
        <w:gridCol w:w="3827"/>
      </w:tblGrid>
      <w:tr w:rsidR="00335395" w14:paraId="5FC0ADA3" w14:textId="77777777" w:rsidTr="00782150">
        <w:tc>
          <w:tcPr>
            <w:tcW w:w="2835" w:type="dxa"/>
            <w:vMerge w:val="restart"/>
          </w:tcPr>
          <w:p w14:paraId="4AF15626" w14:textId="77777777" w:rsidR="00335395" w:rsidRPr="00335395" w:rsidRDefault="00335395" w:rsidP="00D66EBA">
            <w:pPr>
              <w:pStyle w:val="Numbered"/>
              <w:numPr>
                <w:ilvl w:val="0"/>
                <w:numId w:val="0"/>
              </w:numPr>
              <w:spacing w:before="0" w:line="276" w:lineRule="auto"/>
              <w:rPr>
                <w:b/>
                <w:bCs/>
              </w:rPr>
            </w:pPr>
            <w:bookmarkStart w:id="136" w:name="_Hlk103941245"/>
            <w:r w:rsidRPr="00335395">
              <w:rPr>
                <w:b/>
                <w:bCs/>
              </w:rPr>
              <w:t>Option 1 Principle-based Code</w:t>
            </w:r>
          </w:p>
        </w:tc>
        <w:tc>
          <w:tcPr>
            <w:tcW w:w="6379" w:type="dxa"/>
            <w:gridSpan w:val="4"/>
            <w:vAlign w:val="center"/>
          </w:tcPr>
          <w:p w14:paraId="2782CB5E" w14:textId="293E345F" w:rsidR="00335395" w:rsidRPr="00A82B1F" w:rsidRDefault="00335395" w:rsidP="005509A4">
            <w:pPr>
              <w:pStyle w:val="Numbered"/>
              <w:numPr>
                <w:ilvl w:val="0"/>
                <w:numId w:val="0"/>
              </w:numPr>
              <w:spacing w:before="0"/>
              <w:jc w:val="center"/>
              <w:rPr>
                <w:b/>
                <w:bCs/>
              </w:rPr>
            </w:pPr>
            <w:r w:rsidRPr="00A82B1F">
              <w:rPr>
                <w:b/>
                <w:bCs/>
              </w:rPr>
              <w:t xml:space="preserve">How the </w:t>
            </w:r>
            <w:r w:rsidR="008E27CD">
              <w:rPr>
                <w:b/>
                <w:bCs/>
              </w:rPr>
              <w:t>option</w:t>
            </w:r>
            <w:r w:rsidRPr="00A82B1F">
              <w:rPr>
                <w:b/>
                <w:bCs/>
              </w:rPr>
              <w:t xml:space="preserve"> regulates conduct</w:t>
            </w:r>
          </w:p>
        </w:tc>
      </w:tr>
      <w:tr w:rsidR="000D385E" w14:paraId="75197C72" w14:textId="77777777" w:rsidTr="00782150">
        <w:trPr>
          <w:trHeight w:val="288"/>
        </w:trPr>
        <w:tc>
          <w:tcPr>
            <w:tcW w:w="2835" w:type="dxa"/>
            <w:vMerge/>
          </w:tcPr>
          <w:p w14:paraId="7DD233E8" w14:textId="77777777" w:rsidR="000D385E" w:rsidRPr="00A82B1F" w:rsidRDefault="000D385E" w:rsidP="000D385E">
            <w:pPr>
              <w:pStyle w:val="Numbered"/>
              <w:numPr>
                <w:ilvl w:val="0"/>
                <w:numId w:val="0"/>
              </w:numPr>
              <w:spacing w:before="0"/>
              <w:rPr>
                <w:b/>
                <w:bCs/>
              </w:rPr>
            </w:pPr>
          </w:p>
        </w:tc>
        <w:tc>
          <w:tcPr>
            <w:tcW w:w="567" w:type="dxa"/>
          </w:tcPr>
          <w:p w14:paraId="041E487E" w14:textId="0F953834" w:rsidR="000D385E" w:rsidRPr="00D66EBA" w:rsidRDefault="000D385E" w:rsidP="000D385E">
            <w:pPr>
              <w:pStyle w:val="Numbered"/>
              <w:numPr>
                <w:ilvl w:val="0"/>
                <w:numId w:val="0"/>
              </w:numPr>
              <w:spacing w:before="0"/>
              <w:rPr>
                <w:sz w:val="20"/>
              </w:rPr>
            </w:pPr>
            <w:r w:rsidRPr="00D66EBA">
              <w:rPr>
                <w:sz w:val="20"/>
              </w:rPr>
              <w:t xml:space="preserve">N/A </w:t>
            </w:r>
          </w:p>
        </w:tc>
        <w:tc>
          <w:tcPr>
            <w:tcW w:w="851" w:type="dxa"/>
          </w:tcPr>
          <w:p w14:paraId="18CFAAF8" w14:textId="77777777" w:rsidR="000D385E" w:rsidRPr="00D66EBA" w:rsidRDefault="000D385E" w:rsidP="000D385E">
            <w:pPr>
              <w:pStyle w:val="Numbered"/>
              <w:numPr>
                <w:ilvl w:val="0"/>
                <w:numId w:val="0"/>
              </w:numPr>
              <w:spacing w:before="0"/>
              <w:rPr>
                <w:sz w:val="20"/>
              </w:rPr>
            </w:pPr>
            <w:r w:rsidRPr="00D66EBA">
              <w:rPr>
                <w:sz w:val="20"/>
              </w:rPr>
              <w:t xml:space="preserve">Limited </w:t>
            </w:r>
          </w:p>
        </w:tc>
        <w:tc>
          <w:tcPr>
            <w:tcW w:w="1134" w:type="dxa"/>
          </w:tcPr>
          <w:p w14:paraId="71DEB17A" w14:textId="77777777" w:rsidR="000D385E" w:rsidRPr="00D66EBA" w:rsidRDefault="000D385E" w:rsidP="000D385E">
            <w:pPr>
              <w:pStyle w:val="Numbered"/>
              <w:numPr>
                <w:ilvl w:val="0"/>
                <w:numId w:val="0"/>
              </w:numPr>
              <w:spacing w:before="0"/>
              <w:rPr>
                <w:sz w:val="20"/>
              </w:rPr>
            </w:pPr>
            <w:r w:rsidRPr="00D66EBA">
              <w:rPr>
                <w:sz w:val="20"/>
              </w:rPr>
              <w:t>Prohibited</w:t>
            </w:r>
          </w:p>
        </w:tc>
        <w:tc>
          <w:tcPr>
            <w:tcW w:w="3827" w:type="dxa"/>
          </w:tcPr>
          <w:p w14:paraId="074B76CE" w14:textId="77777777" w:rsidR="000D385E" w:rsidRPr="00D66EBA" w:rsidRDefault="000D385E" w:rsidP="000D385E">
            <w:pPr>
              <w:pStyle w:val="Numbered"/>
              <w:numPr>
                <w:ilvl w:val="0"/>
                <w:numId w:val="0"/>
              </w:numPr>
              <w:spacing w:before="0"/>
              <w:rPr>
                <w:sz w:val="20"/>
              </w:rPr>
            </w:pPr>
            <w:r w:rsidRPr="00D66EBA">
              <w:rPr>
                <w:sz w:val="20"/>
              </w:rPr>
              <w:t>Exceptions or conditions</w:t>
            </w:r>
          </w:p>
        </w:tc>
      </w:tr>
      <w:tr w:rsidR="00782150" w14:paraId="4D3B58E1" w14:textId="77777777" w:rsidTr="00782150">
        <w:tc>
          <w:tcPr>
            <w:tcW w:w="2835" w:type="dxa"/>
          </w:tcPr>
          <w:p w14:paraId="32F7CDFA" w14:textId="77777777" w:rsidR="00782150" w:rsidRPr="00D66EBA" w:rsidRDefault="00782150" w:rsidP="005509A4">
            <w:pPr>
              <w:pStyle w:val="Numbered"/>
              <w:numPr>
                <w:ilvl w:val="0"/>
                <w:numId w:val="0"/>
              </w:numPr>
              <w:spacing w:before="0"/>
              <w:rPr>
                <w:sz w:val="20"/>
              </w:rPr>
            </w:pPr>
            <w:r w:rsidRPr="00D66EBA">
              <w:rPr>
                <w:sz w:val="20"/>
              </w:rPr>
              <w:t>Non-written supply agreements</w:t>
            </w:r>
          </w:p>
        </w:tc>
        <w:tc>
          <w:tcPr>
            <w:tcW w:w="567" w:type="dxa"/>
          </w:tcPr>
          <w:p w14:paraId="67A5AE15" w14:textId="77777777" w:rsidR="00782150" w:rsidRPr="00D66EBA" w:rsidRDefault="00782150" w:rsidP="005509A4">
            <w:pPr>
              <w:pStyle w:val="Numbered"/>
              <w:numPr>
                <w:ilvl w:val="0"/>
                <w:numId w:val="0"/>
              </w:numPr>
              <w:spacing w:before="0"/>
              <w:rPr>
                <w:sz w:val="20"/>
              </w:rPr>
            </w:pPr>
          </w:p>
        </w:tc>
        <w:tc>
          <w:tcPr>
            <w:tcW w:w="851" w:type="dxa"/>
            <w:shd w:val="clear" w:color="auto" w:fill="auto"/>
          </w:tcPr>
          <w:p w14:paraId="5A1459A8" w14:textId="77777777" w:rsidR="00782150" w:rsidRPr="00D66EBA" w:rsidRDefault="00782150" w:rsidP="005509A4">
            <w:pPr>
              <w:pStyle w:val="Numbered"/>
              <w:numPr>
                <w:ilvl w:val="0"/>
                <w:numId w:val="0"/>
              </w:numPr>
              <w:spacing w:before="0"/>
              <w:rPr>
                <w:sz w:val="20"/>
              </w:rPr>
            </w:pPr>
          </w:p>
        </w:tc>
        <w:tc>
          <w:tcPr>
            <w:tcW w:w="1134" w:type="dxa"/>
            <w:shd w:val="clear" w:color="auto" w:fill="FFC399" w:themeFill="accent5" w:themeFillTint="66"/>
          </w:tcPr>
          <w:p w14:paraId="59C06FCD" w14:textId="77777777" w:rsidR="00782150" w:rsidRPr="00D66EBA" w:rsidRDefault="00782150" w:rsidP="005509A4">
            <w:pPr>
              <w:pStyle w:val="Numbered"/>
              <w:numPr>
                <w:ilvl w:val="0"/>
                <w:numId w:val="0"/>
              </w:numPr>
              <w:spacing w:before="0"/>
              <w:rPr>
                <w:sz w:val="20"/>
              </w:rPr>
            </w:pPr>
          </w:p>
        </w:tc>
        <w:tc>
          <w:tcPr>
            <w:tcW w:w="3827" w:type="dxa"/>
            <w:shd w:val="clear" w:color="auto" w:fill="auto"/>
          </w:tcPr>
          <w:p w14:paraId="468DE948" w14:textId="77777777" w:rsidR="00782150" w:rsidRPr="00D66EBA" w:rsidRDefault="00782150" w:rsidP="005509A4">
            <w:pPr>
              <w:pStyle w:val="Numbered"/>
              <w:numPr>
                <w:ilvl w:val="0"/>
                <w:numId w:val="0"/>
              </w:numPr>
              <w:spacing w:before="0"/>
              <w:rPr>
                <w:sz w:val="20"/>
              </w:rPr>
            </w:pPr>
          </w:p>
        </w:tc>
      </w:tr>
      <w:tr w:rsidR="00782150" w14:paraId="38FCAA2E" w14:textId="77777777" w:rsidTr="00782150">
        <w:tc>
          <w:tcPr>
            <w:tcW w:w="2835" w:type="dxa"/>
          </w:tcPr>
          <w:p w14:paraId="01D5D0EA" w14:textId="77777777" w:rsidR="00782150" w:rsidRPr="00D66EBA" w:rsidRDefault="00782150" w:rsidP="005509A4">
            <w:pPr>
              <w:pStyle w:val="Numbered"/>
              <w:numPr>
                <w:ilvl w:val="0"/>
                <w:numId w:val="0"/>
              </w:numPr>
              <w:spacing w:before="0"/>
              <w:rPr>
                <w:sz w:val="20"/>
              </w:rPr>
            </w:pPr>
            <w:r w:rsidRPr="00D66EBA">
              <w:rPr>
                <w:sz w:val="20"/>
              </w:rPr>
              <w:t>Content of supply agreement</w:t>
            </w:r>
          </w:p>
        </w:tc>
        <w:tc>
          <w:tcPr>
            <w:tcW w:w="567" w:type="dxa"/>
          </w:tcPr>
          <w:p w14:paraId="02BC4BA5" w14:textId="77777777" w:rsidR="00782150" w:rsidRPr="00D66EBA" w:rsidRDefault="00782150" w:rsidP="005509A4">
            <w:pPr>
              <w:pStyle w:val="Numbered"/>
              <w:numPr>
                <w:ilvl w:val="0"/>
                <w:numId w:val="0"/>
              </w:numPr>
              <w:spacing w:before="0"/>
              <w:rPr>
                <w:sz w:val="20"/>
              </w:rPr>
            </w:pPr>
          </w:p>
        </w:tc>
        <w:tc>
          <w:tcPr>
            <w:tcW w:w="851" w:type="dxa"/>
            <w:shd w:val="clear" w:color="auto" w:fill="FFC399" w:themeFill="accent5" w:themeFillTint="66"/>
          </w:tcPr>
          <w:p w14:paraId="0CAEB9FC" w14:textId="77777777" w:rsidR="00782150" w:rsidRPr="00D66EBA" w:rsidRDefault="00782150" w:rsidP="005509A4">
            <w:pPr>
              <w:pStyle w:val="Numbered"/>
              <w:numPr>
                <w:ilvl w:val="0"/>
                <w:numId w:val="0"/>
              </w:numPr>
              <w:spacing w:before="0"/>
              <w:rPr>
                <w:sz w:val="20"/>
              </w:rPr>
            </w:pPr>
          </w:p>
        </w:tc>
        <w:tc>
          <w:tcPr>
            <w:tcW w:w="1134" w:type="dxa"/>
            <w:shd w:val="clear" w:color="auto" w:fill="auto"/>
          </w:tcPr>
          <w:p w14:paraId="2621B623" w14:textId="77777777" w:rsidR="00782150" w:rsidRPr="00D66EBA" w:rsidRDefault="00782150" w:rsidP="005509A4">
            <w:pPr>
              <w:pStyle w:val="Numbered"/>
              <w:numPr>
                <w:ilvl w:val="0"/>
                <w:numId w:val="0"/>
              </w:numPr>
              <w:spacing w:before="0"/>
              <w:rPr>
                <w:sz w:val="20"/>
              </w:rPr>
            </w:pPr>
          </w:p>
        </w:tc>
        <w:tc>
          <w:tcPr>
            <w:tcW w:w="3827" w:type="dxa"/>
            <w:shd w:val="clear" w:color="auto" w:fill="FFE1CC" w:themeFill="accent5" w:themeFillTint="33"/>
          </w:tcPr>
          <w:p w14:paraId="76551467" w14:textId="5BCD727D" w:rsidR="00782150" w:rsidRPr="00D66EBA" w:rsidRDefault="00782150" w:rsidP="008F0AFE">
            <w:pPr>
              <w:pStyle w:val="Numbered"/>
              <w:numPr>
                <w:ilvl w:val="0"/>
                <w:numId w:val="0"/>
              </w:numPr>
              <w:spacing w:before="0"/>
              <w:rPr>
                <w:sz w:val="20"/>
              </w:rPr>
            </w:pPr>
            <w:r w:rsidRPr="00D66EBA">
              <w:rPr>
                <w:sz w:val="20"/>
              </w:rPr>
              <w:t>Must not be inconsistent with Code</w:t>
            </w:r>
            <w:r>
              <w:rPr>
                <w:sz w:val="20"/>
              </w:rPr>
              <w:t>.</w:t>
            </w:r>
          </w:p>
        </w:tc>
      </w:tr>
      <w:tr w:rsidR="00782150" w14:paraId="03C44D31" w14:textId="77777777" w:rsidTr="00782150">
        <w:tc>
          <w:tcPr>
            <w:tcW w:w="2835" w:type="dxa"/>
          </w:tcPr>
          <w:p w14:paraId="7CD5B95B" w14:textId="77777777" w:rsidR="00782150" w:rsidRPr="00D66EBA" w:rsidRDefault="00782150" w:rsidP="005509A4">
            <w:pPr>
              <w:pStyle w:val="Numbered"/>
              <w:numPr>
                <w:ilvl w:val="0"/>
                <w:numId w:val="0"/>
              </w:numPr>
              <w:spacing w:before="0"/>
              <w:rPr>
                <w:sz w:val="20"/>
              </w:rPr>
            </w:pPr>
            <w:r w:rsidRPr="00D66EBA">
              <w:rPr>
                <w:sz w:val="20"/>
              </w:rPr>
              <w:t>Unilateral variations</w:t>
            </w:r>
          </w:p>
        </w:tc>
        <w:tc>
          <w:tcPr>
            <w:tcW w:w="567" w:type="dxa"/>
            <w:shd w:val="clear" w:color="auto" w:fill="auto"/>
          </w:tcPr>
          <w:p w14:paraId="2E34E60D" w14:textId="77777777" w:rsidR="00782150" w:rsidRPr="00D66EBA" w:rsidRDefault="00782150" w:rsidP="005509A4">
            <w:pPr>
              <w:pStyle w:val="Numbered"/>
              <w:numPr>
                <w:ilvl w:val="0"/>
                <w:numId w:val="0"/>
              </w:numPr>
              <w:spacing w:before="0"/>
              <w:rPr>
                <w:sz w:val="20"/>
              </w:rPr>
            </w:pPr>
          </w:p>
        </w:tc>
        <w:tc>
          <w:tcPr>
            <w:tcW w:w="851" w:type="dxa"/>
            <w:shd w:val="clear" w:color="auto" w:fill="FFC399" w:themeFill="accent5" w:themeFillTint="66"/>
          </w:tcPr>
          <w:p w14:paraId="3E6A3C4B" w14:textId="77777777" w:rsidR="00782150" w:rsidRPr="00D66EBA" w:rsidRDefault="00782150" w:rsidP="005509A4">
            <w:pPr>
              <w:pStyle w:val="Numbered"/>
              <w:numPr>
                <w:ilvl w:val="0"/>
                <w:numId w:val="0"/>
              </w:numPr>
              <w:spacing w:before="0"/>
              <w:rPr>
                <w:sz w:val="20"/>
              </w:rPr>
            </w:pPr>
          </w:p>
        </w:tc>
        <w:tc>
          <w:tcPr>
            <w:tcW w:w="1134" w:type="dxa"/>
            <w:shd w:val="clear" w:color="auto" w:fill="auto"/>
          </w:tcPr>
          <w:p w14:paraId="0C97CC3C" w14:textId="77777777" w:rsidR="00782150" w:rsidRPr="00D66EBA" w:rsidRDefault="00782150" w:rsidP="005509A4">
            <w:pPr>
              <w:pStyle w:val="Numbered"/>
              <w:numPr>
                <w:ilvl w:val="0"/>
                <w:numId w:val="0"/>
              </w:numPr>
              <w:spacing w:before="0"/>
              <w:rPr>
                <w:sz w:val="20"/>
              </w:rPr>
            </w:pPr>
          </w:p>
        </w:tc>
        <w:tc>
          <w:tcPr>
            <w:tcW w:w="3827" w:type="dxa"/>
            <w:shd w:val="clear" w:color="auto" w:fill="FFE1CC" w:themeFill="accent5" w:themeFillTint="33"/>
          </w:tcPr>
          <w:p w14:paraId="5542EE7E" w14:textId="4A66E55D" w:rsidR="00782150" w:rsidRPr="00D66EBA" w:rsidRDefault="00782150" w:rsidP="00782150">
            <w:pPr>
              <w:pStyle w:val="Numbered"/>
              <w:numPr>
                <w:ilvl w:val="0"/>
                <w:numId w:val="0"/>
              </w:numPr>
              <w:spacing w:before="0"/>
              <w:rPr>
                <w:sz w:val="20"/>
              </w:rPr>
            </w:pPr>
            <w:r w:rsidRPr="00D66EBA">
              <w:rPr>
                <w:sz w:val="20"/>
              </w:rPr>
              <w:t>In supply agreement</w:t>
            </w:r>
            <w:r>
              <w:rPr>
                <w:sz w:val="20"/>
              </w:rPr>
              <w:t>, and r</w:t>
            </w:r>
            <w:r w:rsidRPr="00D66EBA">
              <w:rPr>
                <w:sz w:val="20"/>
              </w:rPr>
              <w:t>easonable notice</w:t>
            </w:r>
            <w:r>
              <w:rPr>
                <w:sz w:val="20"/>
              </w:rPr>
              <w:t>.</w:t>
            </w:r>
          </w:p>
        </w:tc>
      </w:tr>
      <w:tr w:rsidR="00782150" w14:paraId="0E6045FD" w14:textId="77777777" w:rsidTr="00782150">
        <w:trPr>
          <w:trHeight w:val="391"/>
        </w:trPr>
        <w:tc>
          <w:tcPr>
            <w:tcW w:w="2835" w:type="dxa"/>
          </w:tcPr>
          <w:p w14:paraId="3DDBA1E8" w14:textId="77777777" w:rsidR="00782150" w:rsidRPr="00D66EBA" w:rsidRDefault="00782150" w:rsidP="005509A4">
            <w:pPr>
              <w:pStyle w:val="Numbered"/>
              <w:numPr>
                <w:ilvl w:val="0"/>
                <w:numId w:val="0"/>
              </w:numPr>
              <w:spacing w:before="0"/>
              <w:rPr>
                <w:sz w:val="20"/>
              </w:rPr>
            </w:pPr>
            <w:r w:rsidRPr="00D66EBA">
              <w:rPr>
                <w:sz w:val="20"/>
              </w:rPr>
              <w:t>Retrospective variations</w:t>
            </w:r>
          </w:p>
        </w:tc>
        <w:tc>
          <w:tcPr>
            <w:tcW w:w="567" w:type="dxa"/>
          </w:tcPr>
          <w:p w14:paraId="2DDF2649" w14:textId="77777777" w:rsidR="00782150" w:rsidRPr="00D66EBA" w:rsidRDefault="00782150" w:rsidP="005509A4">
            <w:pPr>
              <w:pStyle w:val="Numbered"/>
              <w:numPr>
                <w:ilvl w:val="0"/>
                <w:numId w:val="0"/>
              </w:numPr>
              <w:spacing w:before="0"/>
              <w:rPr>
                <w:sz w:val="20"/>
              </w:rPr>
            </w:pPr>
          </w:p>
        </w:tc>
        <w:tc>
          <w:tcPr>
            <w:tcW w:w="851" w:type="dxa"/>
          </w:tcPr>
          <w:p w14:paraId="64CC92A9" w14:textId="77777777" w:rsidR="00782150" w:rsidRPr="00D66EBA" w:rsidRDefault="00782150" w:rsidP="005509A4">
            <w:pPr>
              <w:pStyle w:val="Numbered"/>
              <w:numPr>
                <w:ilvl w:val="0"/>
                <w:numId w:val="0"/>
              </w:numPr>
              <w:spacing w:before="0"/>
              <w:rPr>
                <w:sz w:val="20"/>
              </w:rPr>
            </w:pPr>
          </w:p>
        </w:tc>
        <w:tc>
          <w:tcPr>
            <w:tcW w:w="1134" w:type="dxa"/>
            <w:shd w:val="clear" w:color="auto" w:fill="FFC399" w:themeFill="accent5" w:themeFillTint="66"/>
          </w:tcPr>
          <w:p w14:paraId="17235CED" w14:textId="77777777" w:rsidR="00782150" w:rsidRPr="00D66EBA" w:rsidRDefault="00782150" w:rsidP="005509A4">
            <w:pPr>
              <w:pStyle w:val="Numbered"/>
              <w:numPr>
                <w:ilvl w:val="0"/>
                <w:numId w:val="0"/>
              </w:numPr>
              <w:spacing w:before="0"/>
              <w:rPr>
                <w:sz w:val="20"/>
              </w:rPr>
            </w:pPr>
          </w:p>
        </w:tc>
        <w:tc>
          <w:tcPr>
            <w:tcW w:w="3827" w:type="dxa"/>
          </w:tcPr>
          <w:p w14:paraId="42B0A96B" w14:textId="77777777" w:rsidR="00782150" w:rsidRPr="00D66EBA" w:rsidRDefault="00782150" w:rsidP="005509A4">
            <w:pPr>
              <w:pStyle w:val="Numbered"/>
              <w:numPr>
                <w:ilvl w:val="0"/>
                <w:numId w:val="0"/>
              </w:numPr>
              <w:spacing w:before="0"/>
              <w:rPr>
                <w:sz w:val="20"/>
              </w:rPr>
            </w:pPr>
          </w:p>
        </w:tc>
      </w:tr>
    </w:tbl>
    <w:p w14:paraId="3A527CC1" w14:textId="5F053E38" w:rsidR="00BB0FED" w:rsidRDefault="00BB0FED" w:rsidP="00D66EBA">
      <w:pPr>
        <w:spacing w:after="0"/>
        <w:rPr>
          <w:sz w:val="10"/>
          <w:szCs w:val="10"/>
        </w:rPr>
      </w:pPr>
    </w:p>
    <w:p w14:paraId="6730D81D" w14:textId="77777777" w:rsidR="00BB0FED" w:rsidRDefault="00BB0FED">
      <w:pPr>
        <w:rPr>
          <w:sz w:val="10"/>
          <w:szCs w:val="10"/>
        </w:rPr>
      </w:pPr>
      <w:r>
        <w:rPr>
          <w:sz w:val="10"/>
          <w:szCs w:val="10"/>
        </w:rPr>
        <w:br w:type="page"/>
      </w:r>
    </w:p>
    <w:p w14:paraId="2A10BBE6" w14:textId="77777777" w:rsidR="006E56CE" w:rsidRPr="00203377" w:rsidRDefault="006E56CE" w:rsidP="00D66EBA">
      <w:pPr>
        <w:spacing w:after="0"/>
        <w:rPr>
          <w:sz w:val="10"/>
          <w:szCs w:val="10"/>
        </w:rPr>
      </w:pPr>
    </w:p>
    <w:tbl>
      <w:tblPr>
        <w:tblStyle w:val="TableGrid"/>
        <w:tblW w:w="9169" w:type="dxa"/>
        <w:tblInd w:w="-5" w:type="dxa"/>
        <w:tblLayout w:type="fixed"/>
        <w:tblLook w:val="04A0" w:firstRow="1" w:lastRow="0" w:firstColumn="1" w:lastColumn="0" w:noHBand="0" w:noVBand="1"/>
      </w:tblPr>
      <w:tblGrid>
        <w:gridCol w:w="2835"/>
        <w:gridCol w:w="567"/>
        <w:gridCol w:w="851"/>
        <w:gridCol w:w="1134"/>
        <w:gridCol w:w="3782"/>
      </w:tblGrid>
      <w:tr w:rsidR="00243358" w14:paraId="6315BACC" w14:textId="77777777" w:rsidTr="00782150">
        <w:tc>
          <w:tcPr>
            <w:tcW w:w="2835" w:type="dxa"/>
            <w:vMerge w:val="restart"/>
          </w:tcPr>
          <w:p w14:paraId="5AD4B549" w14:textId="26568C64" w:rsidR="00243358" w:rsidRPr="00335395" w:rsidRDefault="00243358" w:rsidP="00243358">
            <w:pPr>
              <w:pStyle w:val="Numbered"/>
              <w:numPr>
                <w:ilvl w:val="0"/>
                <w:numId w:val="0"/>
              </w:numPr>
              <w:spacing w:before="0"/>
              <w:rPr>
                <w:b/>
                <w:bCs/>
              </w:rPr>
            </w:pPr>
            <w:r w:rsidRPr="00243358">
              <w:rPr>
                <w:b/>
                <w:bCs/>
              </w:rPr>
              <w:t>Option 2 Prescriptive Code &amp; Option 3 Alternative Code</w:t>
            </w:r>
          </w:p>
        </w:tc>
        <w:tc>
          <w:tcPr>
            <w:tcW w:w="6334" w:type="dxa"/>
            <w:gridSpan w:val="4"/>
            <w:vAlign w:val="center"/>
          </w:tcPr>
          <w:p w14:paraId="2D3B9D7E" w14:textId="2F40D49D" w:rsidR="00243358" w:rsidRPr="00A82B1F" w:rsidRDefault="00243358" w:rsidP="00243358">
            <w:pPr>
              <w:pStyle w:val="Numbered"/>
              <w:numPr>
                <w:ilvl w:val="0"/>
                <w:numId w:val="0"/>
              </w:numPr>
              <w:spacing w:before="0"/>
              <w:jc w:val="center"/>
              <w:rPr>
                <w:b/>
                <w:bCs/>
              </w:rPr>
            </w:pPr>
            <w:r w:rsidRPr="00A82B1F">
              <w:rPr>
                <w:b/>
                <w:bCs/>
              </w:rPr>
              <w:t xml:space="preserve">How the </w:t>
            </w:r>
            <w:r>
              <w:rPr>
                <w:b/>
                <w:bCs/>
              </w:rPr>
              <w:t>option</w:t>
            </w:r>
            <w:r w:rsidRPr="00A82B1F">
              <w:rPr>
                <w:b/>
                <w:bCs/>
              </w:rPr>
              <w:t xml:space="preserve"> regulates conduct</w:t>
            </w:r>
          </w:p>
        </w:tc>
      </w:tr>
      <w:tr w:rsidR="00243358" w14:paraId="4EA582F5" w14:textId="77777777" w:rsidTr="00782150">
        <w:tc>
          <w:tcPr>
            <w:tcW w:w="2835" w:type="dxa"/>
            <w:vMerge/>
          </w:tcPr>
          <w:p w14:paraId="53ABFDA6" w14:textId="77777777" w:rsidR="00243358" w:rsidRPr="00A82B1F" w:rsidRDefault="00243358" w:rsidP="00243358">
            <w:pPr>
              <w:pStyle w:val="Numbered"/>
              <w:numPr>
                <w:ilvl w:val="0"/>
                <w:numId w:val="0"/>
              </w:numPr>
              <w:spacing w:before="0"/>
              <w:rPr>
                <w:b/>
                <w:bCs/>
              </w:rPr>
            </w:pPr>
          </w:p>
        </w:tc>
        <w:tc>
          <w:tcPr>
            <w:tcW w:w="567" w:type="dxa"/>
          </w:tcPr>
          <w:p w14:paraId="082EA578" w14:textId="73C2FFEB" w:rsidR="00243358" w:rsidRPr="00D66EBA" w:rsidRDefault="00243358" w:rsidP="00243358">
            <w:pPr>
              <w:pStyle w:val="Numbered"/>
              <w:numPr>
                <w:ilvl w:val="0"/>
                <w:numId w:val="0"/>
              </w:numPr>
              <w:spacing w:before="0"/>
              <w:rPr>
                <w:sz w:val="20"/>
              </w:rPr>
            </w:pPr>
            <w:r w:rsidRPr="00D66EBA">
              <w:rPr>
                <w:sz w:val="20"/>
              </w:rPr>
              <w:t xml:space="preserve">N/A </w:t>
            </w:r>
          </w:p>
        </w:tc>
        <w:tc>
          <w:tcPr>
            <w:tcW w:w="851" w:type="dxa"/>
          </w:tcPr>
          <w:p w14:paraId="008EB01C" w14:textId="77777777" w:rsidR="00243358" w:rsidRPr="00D66EBA" w:rsidRDefault="00243358" w:rsidP="00243358">
            <w:pPr>
              <w:pStyle w:val="Numbered"/>
              <w:numPr>
                <w:ilvl w:val="0"/>
                <w:numId w:val="0"/>
              </w:numPr>
              <w:spacing w:before="0"/>
              <w:rPr>
                <w:sz w:val="20"/>
              </w:rPr>
            </w:pPr>
            <w:r w:rsidRPr="00D66EBA">
              <w:rPr>
                <w:sz w:val="20"/>
              </w:rPr>
              <w:t xml:space="preserve">Limited </w:t>
            </w:r>
          </w:p>
        </w:tc>
        <w:tc>
          <w:tcPr>
            <w:tcW w:w="1134" w:type="dxa"/>
          </w:tcPr>
          <w:p w14:paraId="7D06C888" w14:textId="77777777" w:rsidR="00243358" w:rsidRPr="00D66EBA" w:rsidRDefault="00243358" w:rsidP="00243358">
            <w:pPr>
              <w:pStyle w:val="Numbered"/>
              <w:numPr>
                <w:ilvl w:val="0"/>
                <w:numId w:val="0"/>
              </w:numPr>
              <w:spacing w:before="0"/>
              <w:rPr>
                <w:sz w:val="20"/>
              </w:rPr>
            </w:pPr>
            <w:r w:rsidRPr="00D66EBA">
              <w:rPr>
                <w:sz w:val="20"/>
              </w:rPr>
              <w:t>Prohibited</w:t>
            </w:r>
          </w:p>
        </w:tc>
        <w:tc>
          <w:tcPr>
            <w:tcW w:w="3782" w:type="dxa"/>
          </w:tcPr>
          <w:p w14:paraId="0848099D" w14:textId="77777777" w:rsidR="00243358" w:rsidRPr="00D66EBA" w:rsidRDefault="00243358" w:rsidP="00243358">
            <w:pPr>
              <w:pStyle w:val="Numbered"/>
              <w:numPr>
                <w:ilvl w:val="0"/>
                <w:numId w:val="0"/>
              </w:numPr>
              <w:spacing w:before="0"/>
              <w:rPr>
                <w:sz w:val="20"/>
              </w:rPr>
            </w:pPr>
            <w:r w:rsidRPr="00D66EBA">
              <w:rPr>
                <w:sz w:val="20"/>
              </w:rPr>
              <w:t>Exceptions or conditions</w:t>
            </w:r>
          </w:p>
        </w:tc>
      </w:tr>
      <w:tr w:rsidR="00782150" w14:paraId="07748C82" w14:textId="77777777" w:rsidTr="00782150">
        <w:tc>
          <w:tcPr>
            <w:tcW w:w="2835" w:type="dxa"/>
          </w:tcPr>
          <w:p w14:paraId="474D68B3" w14:textId="77777777" w:rsidR="00782150" w:rsidRPr="00D66EBA" w:rsidRDefault="00782150" w:rsidP="00243358">
            <w:pPr>
              <w:pStyle w:val="Numbered"/>
              <w:numPr>
                <w:ilvl w:val="0"/>
                <w:numId w:val="0"/>
              </w:numPr>
              <w:spacing w:before="0"/>
              <w:rPr>
                <w:sz w:val="20"/>
              </w:rPr>
            </w:pPr>
            <w:r w:rsidRPr="00D66EBA">
              <w:rPr>
                <w:sz w:val="20"/>
              </w:rPr>
              <w:t>Non-written supply agreements</w:t>
            </w:r>
          </w:p>
        </w:tc>
        <w:tc>
          <w:tcPr>
            <w:tcW w:w="567" w:type="dxa"/>
          </w:tcPr>
          <w:p w14:paraId="7FB67A7C" w14:textId="77777777" w:rsidR="00782150" w:rsidRPr="00D66EBA" w:rsidRDefault="00782150" w:rsidP="00243358">
            <w:pPr>
              <w:pStyle w:val="Numbered"/>
              <w:numPr>
                <w:ilvl w:val="0"/>
                <w:numId w:val="0"/>
              </w:numPr>
              <w:spacing w:before="0"/>
              <w:rPr>
                <w:sz w:val="20"/>
              </w:rPr>
            </w:pPr>
          </w:p>
        </w:tc>
        <w:tc>
          <w:tcPr>
            <w:tcW w:w="851" w:type="dxa"/>
            <w:shd w:val="clear" w:color="auto" w:fill="auto"/>
          </w:tcPr>
          <w:p w14:paraId="1685D0A0" w14:textId="77777777" w:rsidR="00782150" w:rsidRPr="00D66EBA" w:rsidRDefault="00782150" w:rsidP="00243358">
            <w:pPr>
              <w:pStyle w:val="Numbered"/>
              <w:numPr>
                <w:ilvl w:val="0"/>
                <w:numId w:val="0"/>
              </w:numPr>
              <w:spacing w:before="0"/>
              <w:rPr>
                <w:sz w:val="20"/>
              </w:rPr>
            </w:pPr>
          </w:p>
        </w:tc>
        <w:tc>
          <w:tcPr>
            <w:tcW w:w="1134" w:type="dxa"/>
            <w:shd w:val="clear" w:color="auto" w:fill="FFC399" w:themeFill="accent5" w:themeFillTint="66"/>
          </w:tcPr>
          <w:p w14:paraId="26A13B0E" w14:textId="77777777" w:rsidR="00782150" w:rsidRPr="00D66EBA" w:rsidRDefault="00782150" w:rsidP="00243358">
            <w:pPr>
              <w:pStyle w:val="Numbered"/>
              <w:numPr>
                <w:ilvl w:val="0"/>
                <w:numId w:val="0"/>
              </w:numPr>
              <w:spacing w:before="0"/>
              <w:rPr>
                <w:sz w:val="20"/>
              </w:rPr>
            </w:pPr>
          </w:p>
        </w:tc>
        <w:tc>
          <w:tcPr>
            <w:tcW w:w="3782" w:type="dxa"/>
            <w:shd w:val="clear" w:color="auto" w:fill="auto"/>
          </w:tcPr>
          <w:p w14:paraId="12635304" w14:textId="77777777" w:rsidR="00782150" w:rsidRPr="00D66EBA" w:rsidRDefault="00782150" w:rsidP="00243358">
            <w:pPr>
              <w:pStyle w:val="Numbered"/>
              <w:numPr>
                <w:ilvl w:val="0"/>
                <w:numId w:val="0"/>
              </w:numPr>
              <w:spacing w:before="0"/>
              <w:rPr>
                <w:sz w:val="20"/>
              </w:rPr>
            </w:pPr>
          </w:p>
        </w:tc>
      </w:tr>
      <w:tr w:rsidR="00782150" w14:paraId="2759B0B6" w14:textId="77777777" w:rsidTr="00782150">
        <w:tc>
          <w:tcPr>
            <w:tcW w:w="2835" w:type="dxa"/>
          </w:tcPr>
          <w:p w14:paraId="18A3F4E2" w14:textId="77777777" w:rsidR="00782150" w:rsidRPr="00D66EBA" w:rsidRDefault="00782150" w:rsidP="00243358">
            <w:pPr>
              <w:pStyle w:val="Numbered"/>
              <w:numPr>
                <w:ilvl w:val="0"/>
                <w:numId w:val="0"/>
              </w:numPr>
              <w:spacing w:before="0"/>
              <w:rPr>
                <w:sz w:val="20"/>
              </w:rPr>
            </w:pPr>
            <w:r w:rsidRPr="00D66EBA">
              <w:rPr>
                <w:sz w:val="20"/>
              </w:rPr>
              <w:t>Content of supply agreement</w:t>
            </w:r>
          </w:p>
        </w:tc>
        <w:tc>
          <w:tcPr>
            <w:tcW w:w="567" w:type="dxa"/>
          </w:tcPr>
          <w:p w14:paraId="64F631C1" w14:textId="77777777" w:rsidR="00782150" w:rsidRPr="00D66EBA" w:rsidRDefault="00782150" w:rsidP="00243358">
            <w:pPr>
              <w:pStyle w:val="Numbered"/>
              <w:numPr>
                <w:ilvl w:val="0"/>
                <w:numId w:val="0"/>
              </w:numPr>
              <w:spacing w:before="0"/>
              <w:rPr>
                <w:sz w:val="20"/>
              </w:rPr>
            </w:pPr>
          </w:p>
        </w:tc>
        <w:tc>
          <w:tcPr>
            <w:tcW w:w="851" w:type="dxa"/>
            <w:shd w:val="clear" w:color="auto" w:fill="FFC399" w:themeFill="accent5" w:themeFillTint="66"/>
          </w:tcPr>
          <w:p w14:paraId="53DFA708" w14:textId="77777777" w:rsidR="00782150" w:rsidRPr="00D66EBA" w:rsidRDefault="00782150" w:rsidP="00243358">
            <w:pPr>
              <w:pStyle w:val="Numbered"/>
              <w:numPr>
                <w:ilvl w:val="0"/>
                <w:numId w:val="0"/>
              </w:numPr>
              <w:spacing w:before="0"/>
              <w:rPr>
                <w:sz w:val="20"/>
              </w:rPr>
            </w:pPr>
          </w:p>
        </w:tc>
        <w:tc>
          <w:tcPr>
            <w:tcW w:w="1134" w:type="dxa"/>
            <w:shd w:val="clear" w:color="auto" w:fill="auto"/>
          </w:tcPr>
          <w:p w14:paraId="4617C9A7" w14:textId="77777777" w:rsidR="00782150" w:rsidRPr="00D66EBA" w:rsidRDefault="00782150" w:rsidP="00243358">
            <w:pPr>
              <w:pStyle w:val="Numbered"/>
              <w:numPr>
                <w:ilvl w:val="0"/>
                <w:numId w:val="0"/>
              </w:numPr>
              <w:spacing w:before="0"/>
              <w:rPr>
                <w:sz w:val="20"/>
              </w:rPr>
            </w:pPr>
          </w:p>
        </w:tc>
        <w:tc>
          <w:tcPr>
            <w:tcW w:w="3782" w:type="dxa"/>
            <w:shd w:val="clear" w:color="auto" w:fill="FFE1CC" w:themeFill="accent5" w:themeFillTint="33"/>
          </w:tcPr>
          <w:p w14:paraId="199FED27" w14:textId="788744FE" w:rsidR="00782150" w:rsidRPr="00D66EBA" w:rsidRDefault="00782150" w:rsidP="008F0AFE">
            <w:pPr>
              <w:pStyle w:val="Numbered"/>
              <w:numPr>
                <w:ilvl w:val="0"/>
                <w:numId w:val="0"/>
              </w:numPr>
              <w:spacing w:before="0"/>
              <w:rPr>
                <w:sz w:val="20"/>
              </w:rPr>
            </w:pPr>
            <w:r w:rsidRPr="00D66EBA">
              <w:rPr>
                <w:sz w:val="20"/>
              </w:rPr>
              <w:t>All supply agreements must meet minimum content</w:t>
            </w:r>
            <w:r>
              <w:rPr>
                <w:sz w:val="20"/>
              </w:rPr>
              <w:t>.</w:t>
            </w:r>
          </w:p>
        </w:tc>
      </w:tr>
      <w:tr w:rsidR="00782150" w14:paraId="54451D90" w14:textId="77777777" w:rsidTr="00782150">
        <w:tc>
          <w:tcPr>
            <w:tcW w:w="2835" w:type="dxa"/>
          </w:tcPr>
          <w:p w14:paraId="54283BD2" w14:textId="77777777" w:rsidR="00782150" w:rsidRPr="00D66EBA" w:rsidRDefault="00782150" w:rsidP="00243358">
            <w:pPr>
              <w:pStyle w:val="Numbered"/>
              <w:numPr>
                <w:ilvl w:val="0"/>
                <w:numId w:val="0"/>
              </w:numPr>
              <w:spacing w:before="0"/>
              <w:rPr>
                <w:sz w:val="20"/>
              </w:rPr>
            </w:pPr>
            <w:r w:rsidRPr="00D66EBA">
              <w:rPr>
                <w:sz w:val="20"/>
              </w:rPr>
              <w:t>Unilateral variations</w:t>
            </w:r>
          </w:p>
        </w:tc>
        <w:tc>
          <w:tcPr>
            <w:tcW w:w="567" w:type="dxa"/>
            <w:shd w:val="clear" w:color="auto" w:fill="auto"/>
          </w:tcPr>
          <w:p w14:paraId="268BCB78" w14:textId="77777777" w:rsidR="00782150" w:rsidRPr="00D66EBA" w:rsidRDefault="00782150" w:rsidP="00243358">
            <w:pPr>
              <w:pStyle w:val="Numbered"/>
              <w:numPr>
                <w:ilvl w:val="0"/>
                <w:numId w:val="0"/>
              </w:numPr>
              <w:spacing w:before="0"/>
              <w:rPr>
                <w:sz w:val="20"/>
              </w:rPr>
            </w:pPr>
          </w:p>
        </w:tc>
        <w:tc>
          <w:tcPr>
            <w:tcW w:w="851" w:type="dxa"/>
            <w:shd w:val="clear" w:color="auto" w:fill="auto"/>
          </w:tcPr>
          <w:p w14:paraId="5C098ED0" w14:textId="77777777" w:rsidR="00782150" w:rsidRPr="00D66EBA" w:rsidRDefault="00782150" w:rsidP="00243358">
            <w:pPr>
              <w:pStyle w:val="Numbered"/>
              <w:numPr>
                <w:ilvl w:val="0"/>
                <w:numId w:val="0"/>
              </w:numPr>
              <w:spacing w:before="0"/>
              <w:rPr>
                <w:sz w:val="20"/>
              </w:rPr>
            </w:pPr>
          </w:p>
        </w:tc>
        <w:tc>
          <w:tcPr>
            <w:tcW w:w="1134" w:type="dxa"/>
            <w:shd w:val="clear" w:color="auto" w:fill="FFC399" w:themeFill="accent5" w:themeFillTint="66"/>
          </w:tcPr>
          <w:p w14:paraId="75B8A1B1" w14:textId="77777777" w:rsidR="00782150" w:rsidRPr="00D66EBA" w:rsidRDefault="00782150" w:rsidP="00243358">
            <w:pPr>
              <w:pStyle w:val="Numbered"/>
              <w:numPr>
                <w:ilvl w:val="0"/>
                <w:numId w:val="0"/>
              </w:numPr>
              <w:spacing w:before="0"/>
              <w:rPr>
                <w:sz w:val="20"/>
              </w:rPr>
            </w:pPr>
          </w:p>
        </w:tc>
        <w:tc>
          <w:tcPr>
            <w:tcW w:w="3782" w:type="dxa"/>
            <w:shd w:val="clear" w:color="auto" w:fill="FFE1CC" w:themeFill="accent5" w:themeFillTint="33"/>
          </w:tcPr>
          <w:p w14:paraId="5B25CD62" w14:textId="5F53E647" w:rsidR="00782150" w:rsidRPr="00D66EBA" w:rsidRDefault="00782150" w:rsidP="00782150">
            <w:pPr>
              <w:pStyle w:val="Numbered"/>
              <w:numPr>
                <w:ilvl w:val="0"/>
                <w:numId w:val="0"/>
              </w:numPr>
              <w:spacing w:before="0"/>
              <w:rPr>
                <w:sz w:val="20"/>
              </w:rPr>
            </w:pPr>
            <w:r w:rsidRPr="00D66EBA">
              <w:rPr>
                <w:sz w:val="20"/>
              </w:rPr>
              <w:t>In supply agreement</w:t>
            </w:r>
            <w:r>
              <w:rPr>
                <w:sz w:val="20"/>
              </w:rPr>
              <w:t>, and r</w:t>
            </w:r>
            <w:r w:rsidRPr="00D66EBA">
              <w:rPr>
                <w:sz w:val="20"/>
              </w:rPr>
              <w:t>easonable in the circumstances</w:t>
            </w:r>
            <w:r>
              <w:rPr>
                <w:sz w:val="20"/>
              </w:rPr>
              <w:t>, with r</w:t>
            </w:r>
            <w:r w:rsidRPr="00D66EBA">
              <w:rPr>
                <w:sz w:val="20"/>
              </w:rPr>
              <w:t>easonable notice</w:t>
            </w:r>
            <w:r>
              <w:rPr>
                <w:sz w:val="20"/>
              </w:rPr>
              <w:t>.</w:t>
            </w:r>
          </w:p>
        </w:tc>
      </w:tr>
      <w:tr w:rsidR="00782150" w14:paraId="0BA59D36" w14:textId="77777777" w:rsidTr="00782150">
        <w:tc>
          <w:tcPr>
            <w:tcW w:w="2835" w:type="dxa"/>
          </w:tcPr>
          <w:p w14:paraId="69B1A104" w14:textId="77777777" w:rsidR="00782150" w:rsidRPr="00D66EBA" w:rsidRDefault="00782150" w:rsidP="00243358">
            <w:pPr>
              <w:pStyle w:val="Numbered"/>
              <w:numPr>
                <w:ilvl w:val="0"/>
                <w:numId w:val="0"/>
              </w:numPr>
              <w:spacing w:before="0"/>
              <w:rPr>
                <w:sz w:val="20"/>
              </w:rPr>
            </w:pPr>
            <w:r w:rsidRPr="00D66EBA">
              <w:rPr>
                <w:sz w:val="20"/>
              </w:rPr>
              <w:t>Retrospective variations</w:t>
            </w:r>
          </w:p>
        </w:tc>
        <w:tc>
          <w:tcPr>
            <w:tcW w:w="567" w:type="dxa"/>
          </w:tcPr>
          <w:p w14:paraId="5E7AF948" w14:textId="77777777" w:rsidR="00782150" w:rsidRDefault="00782150" w:rsidP="00243358">
            <w:pPr>
              <w:pStyle w:val="Numbered"/>
              <w:numPr>
                <w:ilvl w:val="0"/>
                <w:numId w:val="0"/>
              </w:numPr>
              <w:spacing w:before="0"/>
            </w:pPr>
          </w:p>
        </w:tc>
        <w:tc>
          <w:tcPr>
            <w:tcW w:w="851" w:type="dxa"/>
          </w:tcPr>
          <w:p w14:paraId="2EBA2F66" w14:textId="77777777" w:rsidR="00782150" w:rsidRDefault="00782150" w:rsidP="00243358">
            <w:pPr>
              <w:pStyle w:val="Numbered"/>
              <w:numPr>
                <w:ilvl w:val="0"/>
                <w:numId w:val="0"/>
              </w:numPr>
              <w:spacing w:before="0"/>
            </w:pPr>
          </w:p>
        </w:tc>
        <w:tc>
          <w:tcPr>
            <w:tcW w:w="1134" w:type="dxa"/>
            <w:shd w:val="clear" w:color="auto" w:fill="FFC399" w:themeFill="accent5" w:themeFillTint="66"/>
          </w:tcPr>
          <w:p w14:paraId="37B939A4" w14:textId="77777777" w:rsidR="00782150" w:rsidRDefault="00782150" w:rsidP="00243358">
            <w:pPr>
              <w:pStyle w:val="Numbered"/>
              <w:numPr>
                <w:ilvl w:val="0"/>
                <w:numId w:val="0"/>
              </w:numPr>
              <w:spacing w:before="0"/>
            </w:pPr>
          </w:p>
        </w:tc>
        <w:tc>
          <w:tcPr>
            <w:tcW w:w="3782" w:type="dxa"/>
          </w:tcPr>
          <w:p w14:paraId="57E51D65" w14:textId="77777777" w:rsidR="00782150" w:rsidRDefault="00782150" w:rsidP="00243358">
            <w:pPr>
              <w:pStyle w:val="Numbered"/>
              <w:numPr>
                <w:ilvl w:val="0"/>
                <w:numId w:val="0"/>
              </w:numPr>
              <w:spacing w:before="0"/>
            </w:pPr>
          </w:p>
        </w:tc>
      </w:tr>
      <w:bookmarkEnd w:id="136"/>
    </w:tbl>
    <w:p w14:paraId="4D6671CA" w14:textId="6E28246D" w:rsidR="00335395" w:rsidRPr="006B621E" w:rsidRDefault="00335395" w:rsidP="008E27CD">
      <w:pPr>
        <w:pStyle w:val="Numbered"/>
        <w:numPr>
          <w:ilvl w:val="0"/>
          <w:numId w:val="0"/>
        </w:numPr>
        <w:spacing w:before="0" w:after="0"/>
        <w:ind w:left="567" w:hanging="567"/>
        <w:rPr>
          <w:sz w:val="16"/>
          <w:szCs w:val="16"/>
        </w:rPr>
      </w:pPr>
    </w:p>
    <w:tbl>
      <w:tblPr>
        <w:tblStyle w:val="TableGrid"/>
        <w:tblW w:w="9214"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CellMar>
          <w:top w:w="85" w:type="dxa"/>
          <w:bottom w:w="85" w:type="dxa"/>
        </w:tblCellMar>
        <w:tblLook w:val="04A0" w:firstRow="1" w:lastRow="0" w:firstColumn="1" w:lastColumn="0" w:noHBand="0" w:noVBand="1"/>
      </w:tblPr>
      <w:tblGrid>
        <w:gridCol w:w="1129"/>
        <w:gridCol w:w="3833"/>
        <w:gridCol w:w="4252"/>
      </w:tblGrid>
      <w:tr w:rsidR="006B621E" w:rsidRPr="00D17979" w14:paraId="1F09888F" w14:textId="77777777" w:rsidTr="006B621E">
        <w:trPr>
          <w:trHeight w:val="326"/>
        </w:trPr>
        <w:tc>
          <w:tcPr>
            <w:tcW w:w="1129" w:type="dxa"/>
            <w:shd w:val="clear" w:color="auto" w:fill="D9D9D9" w:themeFill="background1" w:themeFillShade="D9"/>
          </w:tcPr>
          <w:p w14:paraId="558F3928" w14:textId="77777777" w:rsidR="006B621E" w:rsidRPr="005239EF" w:rsidRDefault="006B621E" w:rsidP="0049148B">
            <w:pPr>
              <w:pStyle w:val="Numbered"/>
              <w:numPr>
                <w:ilvl w:val="0"/>
                <w:numId w:val="0"/>
              </w:numPr>
              <w:spacing w:before="0"/>
              <w:rPr>
                <w:b/>
                <w:bCs/>
              </w:rPr>
            </w:pPr>
            <w:bookmarkStart w:id="137" w:name="_Hlk103930975"/>
          </w:p>
        </w:tc>
        <w:tc>
          <w:tcPr>
            <w:tcW w:w="3833" w:type="dxa"/>
            <w:shd w:val="clear" w:color="auto" w:fill="D9D9D9" w:themeFill="background1" w:themeFillShade="D9"/>
          </w:tcPr>
          <w:p w14:paraId="3016F008" w14:textId="77777777" w:rsidR="006B621E" w:rsidRDefault="006B621E" w:rsidP="0049148B">
            <w:pPr>
              <w:pStyle w:val="Numbered"/>
              <w:numPr>
                <w:ilvl w:val="0"/>
                <w:numId w:val="0"/>
              </w:numPr>
              <w:tabs>
                <w:tab w:val="left" w:pos="1428"/>
              </w:tabs>
              <w:spacing w:before="0"/>
              <w:rPr>
                <w:b/>
                <w:bCs/>
              </w:rPr>
            </w:pPr>
            <w:r>
              <w:rPr>
                <w:b/>
                <w:bCs/>
              </w:rPr>
              <w:t>Option 1 Principle-based Code</w:t>
            </w:r>
          </w:p>
          <w:p w14:paraId="72908E31" w14:textId="1BF244DF" w:rsidR="006B621E" w:rsidRPr="00D17979" w:rsidRDefault="006B621E" w:rsidP="0049148B">
            <w:pPr>
              <w:pStyle w:val="Numbered"/>
              <w:numPr>
                <w:ilvl w:val="0"/>
                <w:numId w:val="0"/>
              </w:numPr>
              <w:spacing w:before="0"/>
              <w:rPr>
                <w:b/>
                <w:bCs/>
              </w:rPr>
            </w:pPr>
          </w:p>
        </w:tc>
        <w:tc>
          <w:tcPr>
            <w:tcW w:w="4252" w:type="dxa"/>
            <w:shd w:val="clear" w:color="auto" w:fill="D9D9D9" w:themeFill="background1" w:themeFillShade="D9"/>
          </w:tcPr>
          <w:p w14:paraId="2EABE5C3" w14:textId="6154983E" w:rsidR="006B621E" w:rsidRDefault="00243358" w:rsidP="0049148B">
            <w:pPr>
              <w:pStyle w:val="Numbered"/>
              <w:numPr>
                <w:ilvl w:val="0"/>
                <w:numId w:val="0"/>
              </w:numPr>
              <w:spacing w:before="0"/>
              <w:rPr>
                <w:b/>
                <w:bCs/>
              </w:rPr>
            </w:pPr>
            <w:r w:rsidRPr="00243358">
              <w:rPr>
                <w:b/>
                <w:bCs/>
              </w:rPr>
              <w:t>Option 2 Prescriptive Code &amp; Option 3 Alternative Code</w:t>
            </w:r>
          </w:p>
        </w:tc>
      </w:tr>
      <w:tr w:rsidR="006B621E" w:rsidRPr="00D17979" w14:paraId="07766A0D" w14:textId="77777777" w:rsidTr="006B621E">
        <w:tc>
          <w:tcPr>
            <w:tcW w:w="1129" w:type="dxa"/>
            <w:shd w:val="clear" w:color="auto" w:fill="D9D9D9" w:themeFill="background1" w:themeFillShade="D9"/>
          </w:tcPr>
          <w:p w14:paraId="6A43CA20" w14:textId="14280F6C" w:rsidR="006B621E" w:rsidRPr="00D17979" w:rsidRDefault="006B621E" w:rsidP="006B621E">
            <w:pPr>
              <w:pStyle w:val="Numbered"/>
              <w:numPr>
                <w:ilvl w:val="0"/>
                <w:numId w:val="0"/>
              </w:numPr>
              <w:spacing w:before="0"/>
              <w:rPr>
                <w:b/>
                <w:bCs/>
              </w:rPr>
            </w:pPr>
            <w:r>
              <w:rPr>
                <w:b/>
                <w:bCs/>
              </w:rPr>
              <w:t>Effective</w:t>
            </w:r>
          </w:p>
        </w:tc>
        <w:tc>
          <w:tcPr>
            <w:tcW w:w="3833" w:type="dxa"/>
            <w:shd w:val="clear" w:color="auto" w:fill="D9D9D9" w:themeFill="background1" w:themeFillShade="D9"/>
          </w:tcPr>
          <w:p w14:paraId="45AE1F97" w14:textId="03B892C6" w:rsidR="006B621E" w:rsidRPr="00EE579A" w:rsidRDefault="006B621E" w:rsidP="00693D9A">
            <w:pPr>
              <w:pStyle w:val="Numbered"/>
              <w:numPr>
                <w:ilvl w:val="0"/>
                <w:numId w:val="0"/>
              </w:numPr>
              <w:spacing w:before="0"/>
              <w:rPr>
                <w:sz w:val="20"/>
                <w:szCs w:val="20"/>
              </w:rPr>
            </w:pPr>
            <w:r w:rsidRPr="00EE579A">
              <w:rPr>
                <w:sz w:val="20"/>
                <w:szCs w:val="20"/>
              </w:rPr>
              <w:t>+1</w:t>
            </w:r>
            <w:r>
              <w:rPr>
                <w:sz w:val="20"/>
                <w:szCs w:val="20"/>
              </w:rPr>
              <w:t>.5</w:t>
            </w:r>
          </w:p>
          <w:p w14:paraId="43FEC842" w14:textId="57F6440F" w:rsidR="006B621E" w:rsidRPr="00EE579A" w:rsidRDefault="006B621E" w:rsidP="00693D9A">
            <w:pPr>
              <w:pStyle w:val="Numbered"/>
              <w:numPr>
                <w:ilvl w:val="0"/>
                <w:numId w:val="0"/>
              </w:numPr>
              <w:spacing w:before="0"/>
              <w:rPr>
                <w:sz w:val="20"/>
                <w:szCs w:val="20"/>
              </w:rPr>
            </w:pPr>
            <w:r>
              <w:rPr>
                <w:sz w:val="20"/>
                <w:szCs w:val="20"/>
              </w:rPr>
              <w:t>W</w:t>
            </w:r>
            <w:r w:rsidRPr="00EE579A">
              <w:rPr>
                <w:sz w:val="20"/>
                <w:szCs w:val="20"/>
              </w:rPr>
              <w:t xml:space="preserve">ill improve certainty </w:t>
            </w:r>
            <w:r>
              <w:rPr>
                <w:sz w:val="20"/>
                <w:szCs w:val="20"/>
              </w:rPr>
              <w:t xml:space="preserve">of supply terms </w:t>
            </w:r>
            <w:r w:rsidRPr="00EE579A">
              <w:rPr>
                <w:sz w:val="20"/>
                <w:szCs w:val="20"/>
              </w:rPr>
              <w:t>for suppliers and reduce the likelihood that suppliers face unexpected costs</w:t>
            </w:r>
            <w:r>
              <w:rPr>
                <w:sz w:val="20"/>
                <w:szCs w:val="20"/>
              </w:rPr>
              <w:t xml:space="preserve"> due to unilateral variations</w:t>
            </w:r>
            <w:r w:rsidRPr="00EE579A">
              <w:rPr>
                <w:sz w:val="20"/>
                <w:szCs w:val="20"/>
              </w:rPr>
              <w:t>.</w:t>
            </w:r>
          </w:p>
        </w:tc>
        <w:tc>
          <w:tcPr>
            <w:tcW w:w="4252" w:type="dxa"/>
            <w:shd w:val="clear" w:color="auto" w:fill="D9D9D9" w:themeFill="background1" w:themeFillShade="D9"/>
          </w:tcPr>
          <w:p w14:paraId="2055751A" w14:textId="3B0DC9B7" w:rsidR="006B621E" w:rsidRPr="00EE579A" w:rsidRDefault="006B621E" w:rsidP="00693D9A">
            <w:pPr>
              <w:pStyle w:val="Numbered"/>
              <w:numPr>
                <w:ilvl w:val="0"/>
                <w:numId w:val="0"/>
              </w:numPr>
              <w:spacing w:before="0"/>
              <w:rPr>
                <w:sz w:val="20"/>
                <w:szCs w:val="20"/>
              </w:rPr>
            </w:pPr>
            <w:r w:rsidRPr="00EE579A">
              <w:rPr>
                <w:sz w:val="20"/>
                <w:szCs w:val="20"/>
              </w:rPr>
              <w:t>+2</w:t>
            </w:r>
            <w:r w:rsidR="007351EB">
              <w:rPr>
                <w:sz w:val="20"/>
                <w:szCs w:val="20"/>
              </w:rPr>
              <w:t>.5</w:t>
            </w:r>
          </w:p>
          <w:p w14:paraId="581B95BA" w14:textId="77777777" w:rsidR="00782150" w:rsidRDefault="00782150" w:rsidP="00693D9A">
            <w:pPr>
              <w:pStyle w:val="Numbered"/>
              <w:numPr>
                <w:ilvl w:val="0"/>
                <w:numId w:val="0"/>
              </w:numPr>
              <w:spacing w:before="0"/>
              <w:rPr>
                <w:sz w:val="20"/>
                <w:szCs w:val="20"/>
              </w:rPr>
            </w:pPr>
            <w:r>
              <w:rPr>
                <w:sz w:val="20"/>
                <w:szCs w:val="20"/>
              </w:rPr>
              <w:t xml:space="preserve">Clear minimum content of grocery supply agreement gives </w:t>
            </w:r>
            <w:r w:rsidR="006B621E" w:rsidRPr="00EE579A">
              <w:rPr>
                <w:sz w:val="20"/>
                <w:szCs w:val="20"/>
              </w:rPr>
              <w:t>certainty</w:t>
            </w:r>
            <w:r w:rsidR="006B621E">
              <w:rPr>
                <w:sz w:val="20"/>
                <w:szCs w:val="20"/>
              </w:rPr>
              <w:t xml:space="preserve"> of supply terms</w:t>
            </w:r>
            <w:r w:rsidR="006B621E" w:rsidRPr="00EE579A">
              <w:rPr>
                <w:sz w:val="20"/>
                <w:szCs w:val="20"/>
              </w:rPr>
              <w:t xml:space="preserve"> for suppliers</w:t>
            </w:r>
            <w:r>
              <w:rPr>
                <w:sz w:val="20"/>
                <w:szCs w:val="20"/>
              </w:rPr>
              <w:t>.</w:t>
            </w:r>
          </w:p>
          <w:p w14:paraId="097A3A38" w14:textId="23F21223" w:rsidR="006B621E" w:rsidRPr="00EE579A" w:rsidRDefault="00782150" w:rsidP="00693D9A">
            <w:pPr>
              <w:pStyle w:val="Numbered"/>
              <w:numPr>
                <w:ilvl w:val="0"/>
                <w:numId w:val="0"/>
              </w:numPr>
              <w:spacing w:before="0"/>
              <w:rPr>
                <w:sz w:val="20"/>
                <w:szCs w:val="20"/>
              </w:rPr>
            </w:pPr>
            <w:r>
              <w:rPr>
                <w:sz w:val="20"/>
                <w:szCs w:val="20"/>
              </w:rPr>
              <w:t xml:space="preserve">Protects suppliers from unexpected or unreasonable unilateral variations that may impose costs or risks. </w:t>
            </w:r>
          </w:p>
        </w:tc>
      </w:tr>
      <w:tr w:rsidR="006B621E" w:rsidRPr="00D17979" w14:paraId="44898198" w14:textId="77777777" w:rsidTr="006B621E">
        <w:tc>
          <w:tcPr>
            <w:tcW w:w="1129" w:type="dxa"/>
            <w:shd w:val="clear" w:color="auto" w:fill="D9D9D9" w:themeFill="background1" w:themeFillShade="D9"/>
          </w:tcPr>
          <w:p w14:paraId="79BC0467" w14:textId="58461888" w:rsidR="006B621E" w:rsidRPr="005239EF" w:rsidRDefault="006B621E" w:rsidP="006B621E">
            <w:pPr>
              <w:pStyle w:val="Numbered"/>
              <w:numPr>
                <w:ilvl w:val="0"/>
                <w:numId w:val="0"/>
              </w:numPr>
              <w:spacing w:before="0"/>
              <w:rPr>
                <w:b/>
                <w:bCs/>
              </w:rPr>
            </w:pPr>
            <w:r>
              <w:rPr>
                <w:b/>
                <w:bCs/>
              </w:rPr>
              <w:t>Efficient</w:t>
            </w:r>
            <w:r w:rsidRPr="00D17979">
              <w:rPr>
                <w:i/>
                <w:iCs/>
                <w:sz w:val="20"/>
                <w:szCs w:val="20"/>
              </w:rPr>
              <w:t xml:space="preserve"> </w:t>
            </w:r>
          </w:p>
        </w:tc>
        <w:tc>
          <w:tcPr>
            <w:tcW w:w="3833" w:type="dxa"/>
            <w:shd w:val="clear" w:color="auto" w:fill="D9D9D9" w:themeFill="background1" w:themeFillShade="D9"/>
          </w:tcPr>
          <w:p w14:paraId="3D01E92A" w14:textId="44190F00" w:rsidR="006B621E" w:rsidRPr="00EE579A" w:rsidRDefault="006B621E" w:rsidP="00693D9A">
            <w:pPr>
              <w:pStyle w:val="Numbered"/>
              <w:numPr>
                <w:ilvl w:val="0"/>
                <w:numId w:val="0"/>
              </w:numPr>
              <w:spacing w:before="0"/>
              <w:rPr>
                <w:sz w:val="20"/>
                <w:szCs w:val="20"/>
              </w:rPr>
            </w:pPr>
            <w:r w:rsidRPr="00EE579A">
              <w:rPr>
                <w:sz w:val="20"/>
                <w:szCs w:val="20"/>
              </w:rPr>
              <w:t>-1</w:t>
            </w:r>
            <w:r w:rsidR="007351EB">
              <w:rPr>
                <w:sz w:val="20"/>
                <w:szCs w:val="20"/>
              </w:rPr>
              <w:t>.5</w:t>
            </w:r>
          </w:p>
          <w:p w14:paraId="6FEFDC48" w14:textId="2161137B" w:rsidR="006B621E" w:rsidRDefault="006B621E" w:rsidP="008F0AFE">
            <w:pPr>
              <w:pStyle w:val="Numbered"/>
              <w:numPr>
                <w:ilvl w:val="0"/>
                <w:numId w:val="0"/>
              </w:numPr>
              <w:spacing w:before="0" w:after="120"/>
              <w:rPr>
                <w:sz w:val="20"/>
                <w:szCs w:val="20"/>
              </w:rPr>
            </w:pPr>
            <w:r>
              <w:rPr>
                <w:sz w:val="20"/>
                <w:szCs w:val="20"/>
              </w:rPr>
              <w:t>C</w:t>
            </w:r>
            <w:r w:rsidRPr="00EE579A">
              <w:rPr>
                <w:sz w:val="20"/>
                <w:szCs w:val="20"/>
              </w:rPr>
              <w:t>osts to implement</w:t>
            </w:r>
            <w:r w:rsidR="00414536">
              <w:rPr>
                <w:sz w:val="20"/>
                <w:szCs w:val="20"/>
              </w:rPr>
              <w:t xml:space="preserve">, </w:t>
            </w:r>
            <w:r>
              <w:rPr>
                <w:sz w:val="20"/>
                <w:szCs w:val="20"/>
              </w:rPr>
              <w:t xml:space="preserve">some long-term, some </w:t>
            </w:r>
            <w:r w:rsidRPr="00EE579A">
              <w:rPr>
                <w:sz w:val="20"/>
                <w:szCs w:val="20"/>
              </w:rPr>
              <w:t>transition</w:t>
            </w:r>
            <w:r>
              <w:rPr>
                <w:sz w:val="20"/>
                <w:szCs w:val="20"/>
              </w:rPr>
              <w:t>al.</w:t>
            </w:r>
          </w:p>
          <w:p w14:paraId="00773E27" w14:textId="7E76B511" w:rsidR="007351EB" w:rsidRDefault="007351EB" w:rsidP="008F0AFE">
            <w:pPr>
              <w:pStyle w:val="Numbered"/>
              <w:numPr>
                <w:ilvl w:val="0"/>
                <w:numId w:val="0"/>
              </w:numPr>
              <w:spacing w:before="0" w:after="120"/>
              <w:rPr>
                <w:sz w:val="20"/>
                <w:szCs w:val="20"/>
              </w:rPr>
            </w:pPr>
            <w:r>
              <w:rPr>
                <w:sz w:val="20"/>
                <w:szCs w:val="20"/>
              </w:rPr>
              <w:t>Possible costs working out the content of grocery supply agreements.</w:t>
            </w:r>
          </w:p>
          <w:p w14:paraId="0D5AD2F1" w14:textId="6D218FFD" w:rsidR="006B621E" w:rsidRPr="00EE579A" w:rsidRDefault="00782150" w:rsidP="008F0AFE">
            <w:pPr>
              <w:pStyle w:val="Numbered"/>
              <w:numPr>
                <w:ilvl w:val="0"/>
                <w:numId w:val="0"/>
              </w:numPr>
              <w:spacing w:before="0"/>
              <w:rPr>
                <w:sz w:val="20"/>
                <w:szCs w:val="20"/>
              </w:rPr>
            </w:pPr>
            <w:r>
              <w:rPr>
                <w:sz w:val="20"/>
                <w:szCs w:val="20"/>
              </w:rPr>
              <w:t>Restricting unilateral variations may push costs upfront.</w:t>
            </w:r>
          </w:p>
        </w:tc>
        <w:tc>
          <w:tcPr>
            <w:tcW w:w="4252" w:type="dxa"/>
            <w:shd w:val="clear" w:color="auto" w:fill="D9D9D9" w:themeFill="background1" w:themeFillShade="D9"/>
          </w:tcPr>
          <w:p w14:paraId="705B237E" w14:textId="77777777" w:rsidR="006B621E" w:rsidRPr="00EE579A" w:rsidRDefault="006B621E" w:rsidP="00693D9A">
            <w:pPr>
              <w:pStyle w:val="Numbered"/>
              <w:numPr>
                <w:ilvl w:val="0"/>
                <w:numId w:val="0"/>
              </w:numPr>
              <w:spacing w:before="0"/>
              <w:rPr>
                <w:sz w:val="20"/>
                <w:szCs w:val="20"/>
              </w:rPr>
            </w:pPr>
            <w:r w:rsidRPr="00EE579A">
              <w:rPr>
                <w:sz w:val="20"/>
                <w:szCs w:val="20"/>
              </w:rPr>
              <w:t>-1</w:t>
            </w:r>
          </w:p>
          <w:p w14:paraId="462E4486" w14:textId="2C9E9B69" w:rsidR="008A13DE" w:rsidRDefault="008A13DE" w:rsidP="008F0AFE">
            <w:pPr>
              <w:pStyle w:val="Numbered"/>
              <w:numPr>
                <w:ilvl w:val="0"/>
                <w:numId w:val="0"/>
              </w:numPr>
              <w:spacing w:before="0" w:after="120"/>
              <w:rPr>
                <w:sz w:val="20"/>
                <w:szCs w:val="20"/>
              </w:rPr>
            </w:pPr>
            <w:r>
              <w:rPr>
                <w:sz w:val="20"/>
                <w:szCs w:val="20"/>
              </w:rPr>
              <w:t>C</w:t>
            </w:r>
            <w:r w:rsidRPr="00EE579A">
              <w:rPr>
                <w:sz w:val="20"/>
                <w:szCs w:val="20"/>
              </w:rPr>
              <w:t xml:space="preserve">osts to implement, </w:t>
            </w:r>
            <w:r>
              <w:rPr>
                <w:sz w:val="20"/>
                <w:szCs w:val="20"/>
              </w:rPr>
              <w:t xml:space="preserve">some long-term, some </w:t>
            </w:r>
            <w:r w:rsidRPr="00EE579A">
              <w:rPr>
                <w:sz w:val="20"/>
                <w:szCs w:val="20"/>
              </w:rPr>
              <w:t>transition</w:t>
            </w:r>
            <w:r>
              <w:rPr>
                <w:sz w:val="20"/>
                <w:szCs w:val="20"/>
              </w:rPr>
              <w:t>al.</w:t>
            </w:r>
          </w:p>
          <w:p w14:paraId="736D7E99" w14:textId="5CE41627" w:rsidR="006B621E" w:rsidRPr="00EE579A" w:rsidRDefault="008A13DE" w:rsidP="008F0AFE">
            <w:pPr>
              <w:pStyle w:val="Numbered"/>
              <w:numPr>
                <w:ilvl w:val="0"/>
                <w:numId w:val="0"/>
              </w:numPr>
              <w:spacing w:before="0" w:after="120"/>
              <w:rPr>
                <w:sz w:val="20"/>
                <w:szCs w:val="20"/>
              </w:rPr>
            </w:pPr>
            <w:r>
              <w:rPr>
                <w:sz w:val="20"/>
                <w:szCs w:val="20"/>
              </w:rPr>
              <w:t>R</w:t>
            </w:r>
            <w:r w:rsidR="006B621E">
              <w:rPr>
                <w:sz w:val="20"/>
                <w:szCs w:val="20"/>
              </w:rPr>
              <w:t>estricting unilateral variations may push costs upfront.</w:t>
            </w:r>
          </w:p>
        </w:tc>
      </w:tr>
      <w:tr w:rsidR="006B621E" w:rsidRPr="00D17979" w14:paraId="1CDAA77D" w14:textId="77777777" w:rsidTr="006B621E">
        <w:tc>
          <w:tcPr>
            <w:tcW w:w="1129" w:type="dxa"/>
            <w:shd w:val="clear" w:color="auto" w:fill="D9D9D9" w:themeFill="background1" w:themeFillShade="D9"/>
          </w:tcPr>
          <w:p w14:paraId="56056101" w14:textId="7AC45036" w:rsidR="006B621E" w:rsidRPr="005239EF" w:rsidRDefault="006B621E" w:rsidP="006B621E">
            <w:pPr>
              <w:pStyle w:val="Numbered"/>
              <w:numPr>
                <w:ilvl w:val="0"/>
                <w:numId w:val="0"/>
              </w:numPr>
              <w:spacing w:before="0"/>
              <w:rPr>
                <w:b/>
                <w:bCs/>
              </w:rPr>
            </w:pPr>
            <w:r w:rsidRPr="001604BA">
              <w:rPr>
                <w:b/>
                <w:bCs/>
              </w:rPr>
              <w:t xml:space="preserve">Durable </w:t>
            </w:r>
          </w:p>
        </w:tc>
        <w:tc>
          <w:tcPr>
            <w:tcW w:w="3833" w:type="dxa"/>
            <w:shd w:val="clear" w:color="auto" w:fill="D9D9D9" w:themeFill="background1" w:themeFillShade="D9"/>
          </w:tcPr>
          <w:p w14:paraId="276754F5" w14:textId="7A7B6018" w:rsidR="006B621E" w:rsidRPr="00EE579A" w:rsidRDefault="006B621E" w:rsidP="00693D9A">
            <w:pPr>
              <w:pStyle w:val="Numbered"/>
              <w:numPr>
                <w:ilvl w:val="0"/>
                <w:numId w:val="0"/>
              </w:numPr>
              <w:spacing w:before="0"/>
              <w:rPr>
                <w:sz w:val="20"/>
                <w:szCs w:val="20"/>
              </w:rPr>
            </w:pPr>
            <w:r w:rsidRPr="00EE579A">
              <w:rPr>
                <w:sz w:val="20"/>
                <w:szCs w:val="20"/>
              </w:rPr>
              <w:t>+2</w:t>
            </w:r>
            <w:r w:rsidR="007351EB">
              <w:rPr>
                <w:sz w:val="20"/>
                <w:szCs w:val="20"/>
              </w:rPr>
              <w:t>.5</w:t>
            </w:r>
          </w:p>
          <w:p w14:paraId="4232FC91" w14:textId="1B2362F6" w:rsidR="006B621E" w:rsidRPr="00EE579A" w:rsidRDefault="006B621E" w:rsidP="00693D9A">
            <w:pPr>
              <w:pStyle w:val="Numbered"/>
              <w:numPr>
                <w:ilvl w:val="0"/>
                <w:numId w:val="0"/>
              </w:numPr>
              <w:spacing w:before="0"/>
              <w:rPr>
                <w:sz w:val="20"/>
                <w:szCs w:val="20"/>
              </w:rPr>
            </w:pPr>
            <w:r w:rsidRPr="00EE579A">
              <w:rPr>
                <w:sz w:val="20"/>
                <w:szCs w:val="20"/>
              </w:rPr>
              <w:t xml:space="preserve">Clear provisions are able to adapt over time where mutually agreed between retailer and supplier in </w:t>
            </w:r>
            <w:r w:rsidR="007351EB">
              <w:rPr>
                <w:sz w:val="20"/>
                <w:szCs w:val="20"/>
              </w:rPr>
              <w:t xml:space="preserve">grocery </w:t>
            </w:r>
            <w:r w:rsidRPr="00EE579A">
              <w:rPr>
                <w:sz w:val="20"/>
                <w:szCs w:val="20"/>
              </w:rPr>
              <w:t>supply agreement</w:t>
            </w:r>
            <w:r>
              <w:rPr>
                <w:sz w:val="20"/>
                <w:szCs w:val="20"/>
              </w:rPr>
              <w:t>.</w:t>
            </w:r>
          </w:p>
        </w:tc>
        <w:tc>
          <w:tcPr>
            <w:tcW w:w="4252" w:type="dxa"/>
            <w:shd w:val="clear" w:color="auto" w:fill="D9D9D9" w:themeFill="background1" w:themeFillShade="D9"/>
          </w:tcPr>
          <w:p w14:paraId="39101E0B" w14:textId="209E699E" w:rsidR="006B621E" w:rsidRPr="00EE579A" w:rsidRDefault="006B621E" w:rsidP="00693D9A">
            <w:pPr>
              <w:pStyle w:val="Numbered"/>
              <w:numPr>
                <w:ilvl w:val="0"/>
                <w:numId w:val="0"/>
              </w:numPr>
              <w:spacing w:before="0"/>
              <w:rPr>
                <w:sz w:val="20"/>
                <w:szCs w:val="20"/>
              </w:rPr>
            </w:pPr>
            <w:r w:rsidRPr="00EE579A">
              <w:rPr>
                <w:sz w:val="20"/>
                <w:szCs w:val="20"/>
              </w:rPr>
              <w:t>+</w:t>
            </w:r>
            <w:r w:rsidR="00BB0FED">
              <w:rPr>
                <w:sz w:val="20"/>
                <w:szCs w:val="20"/>
              </w:rPr>
              <w:t>1.5</w:t>
            </w:r>
          </w:p>
          <w:p w14:paraId="3A5D5DE5" w14:textId="14E5F154" w:rsidR="006B621E" w:rsidRPr="00EE579A" w:rsidRDefault="00BB0FED" w:rsidP="00693D9A">
            <w:pPr>
              <w:pStyle w:val="Numbered"/>
              <w:numPr>
                <w:ilvl w:val="0"/>
                <w:numId w:val="0"/>
              </w:numPr>
              <w:spacing w:before="0"/>
              <w:rPr>
                <w:sz w:val="20"/>
                <w:szCs w:val="20"/>
              </w:rPr>
            </w:pPr>
            <w:r>
              <w:rPr>
                <w:sz w:val="20"/>
                <w:szCs w:val="20"/>
              </w:rPr>
              <w:t xml:space="preserve">Comparably less durable over time due to the inflexible minimum content of grocery supply agreements. </w:t>
            </w:r>
          </w:p>
        </w:tc>
      </w:tr>
      <w:tr w:rsidR="006B621E" w:rsidRPr="00D17979" w14:paraId="2A6956F6" w14:textId="77777777" w:rsidTr="006B621E">
        <w:tc>
          <w:tcPr>
            <w:tcW w:w="1129" w:type="dxa"/>
            <w:shd w:val="clear" w:color="auto" w:fill="D9D9D9" w:themeFill="background1" w:themeFillShade="D9"/>
          </w:tcPr>
          <w:p w14:paraId="51B45F4B" w14:textId="766AD041" w:rsidR="006B621E" w:rsidRPr="005239EF" w:rsidRDefault="006B621E" w:rsidP="006B621E">
            <w:pPr>
              <w:pStyle w:val="Numbered"/>
              <w:numPr>
                <w:ilvl w:val="0"/>
                <w:numId w:val="0"/>
              </w:numPr>
              <w:spacing w:before="0"/>
              <w:rPr>
                <w:b/>
                <w:bCs/>
              </w:rPr>
            </w:pPr>
            <w:r>
              <w:rPr>
                <w:b/>
                <w:bCs/>
              </w:rPr>
              <w:t>Overall</w:t>
            </w:r>
          </w:p>
        </w:tc>
        <w:tc>
          <w:tcPr>
            <w:tcW w:w="3833" w:type="dxa"/>
            <w:shd w:val="clear" w:color="auto" w:fill="D9D9D9" w:themeFill="background1" w:themeFillShade="D9"/>
          </w:tcPr>
          <w:p w14:paraId="3B4649C6" w14:textId="68F60714" w:rsidR="006B621E" w:rsidRPr="00EE579A" w:rsidRDefault="006B621E" w:rsidP="00693D9A">
            <w:pPr>
              <w:pStyle w:val="Numbered"/>
              <w:numPr>
                <w:ilvl w:val="0"/>
                <w:numId w:val="0"/>
              </w:numPr>
              <w:spacing w:before="0"/>
              <w:rPr>
                <w:sz w:val="20"/>
                <w:szCs w:val="20"/>
              </w:rPr>
            </w:pPr>
            <w:r>
              <w:rPr>
                <w:sz w:val="20"/>
                <w:szCs w:val="20"/>
              </w:rPr>
              <w:t>+2.5</w:t>
            </w:r>
          </w:p>
        </w:tc>
        <w:tc>
          <w:tcPr>
            <w:tcW w:w="4252" w:type="dxa"/>
            <w:shd w:val="clear" w:color="auto" w:fill="D9D9D9" w:themeFill="background1" w:themeFillShade="D9"/>
          </w:tcPr>
          <w:p w14:paraId="2BA33971" w14:textId="47A4105A" w:rsidR="006B621E" w:rsidRPr="00EE579A" w:rsidRDefault="006B621E" w:rsidP="00693D9A">
            <w:pPr>
              <w:pStyle w:val="Numbered"/>
              <w:numPr>
                <w:ilvl w:val="0"/>
                <w:numId w:val="0"/>
              </w:numPr>
              <w:spacing w:before="0"/>
              <w:rPr>
                <w:sz w:val="20"/>
                <w:szCs w:val="20"/>
              </w:rPr>
            </w:pPr>
            <w:r>
              <w:rPr>
                <w:sz w:val="20"/>
                <w:szCs w:val="20"/>
              </w:rPr>
              <w:t>+3</w:t>
            </w:r>
          </w:p>
        </w:tc>
      </w:tr>
    </w:tbl>
    <w:p w14:paraId="3B388893" w14:textId="5F4115C7" w:rsidR="00E90047" w:rsidRDefault="00E90047" w:rsidP="00871288">
      <w:pPr>
        <w:pStyle w:val="Heading2"/>
        <w:tabs>
          <w:tab w:val="left" w:pos="567"/>
        </w:tabs>
      </w:pPr>
      <w:bookmarkStart w:id="138" w:name="_Toc104358660"/>
      <w:bookmarkStart w:id="139" w:name="_Toc107919640"/>
      <w:bookmarkEnd w:id="137"/>
      <w:r>
        <w:t>5.</w:t>
      </w:r>
      <w:r w:rsidR="00E55D72">
        <w:t>5</w:t>
      </w:r>
      <w:r w:rsidR="00871288">
        <w:tab/>
      </w:r>
      <w:r>
        <w:t>Consultation questions</w:t>
      </w:r>
      <w:bookmarkEnd w:id="138"/>
      <w:bookmarkEnd w:id="139"/>
    </w:p>
    <w:tbl>
      <w:tblPr>
        <w:tblStyle w:val="TableGrid"/>
        <w:tblW w:w="9070"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CellMar>
          <w:top w:w="57" w:type="dxa"/>
          <w:bottom w:w="57" w:type="dxa"/>
        </w:tblCellMar>
        <w:tblLook w:val="0600" w:firstRow="0" w:lastRow="0" w:firstColumn="0" w:lastColumn="0" w:noHBand="1" w:noVBand="1"/>
      </w:tblPr>
      <w:tblGrid>
        <w:gridCol w:w="531"/>
        <w:gridCol w:w="8539"/>
      </w:tblGrid>
      <w:tr w:rsidR="00E90047" w:rsidRPr="00133B22" w14:paraId="712E1DEF" w14:textId="77777777" w:rsidTr="00E90047">
        <w:trPr>
          <w:cantSplit/>
        </w:trPr>
        <w:tc>
          <w:tcPr>
            <w:tcW w:w="531" w:type="dxa"/>
            <w:shd w:val="clear" w:color="auto" w:fill="006272"/>
            <w:vAlign w:val="center"/>
          </w:tcPr>
          <w:p w14:paraId="02DC33BE" w14:textId="77777777" w:rsidR="00E90047" w:rsidRPr="00096770" w:rsidRDefault="00E90047" w:rsidP="005509A4">
            <w:pPr>
              <w:pStyle w:val="Questionnumber"/>
              <w:contextualSpacing/>
              <w:rPr>
                <w:color w:val="F2F2F2" w:themeColor="background2" w:themeShade="F2"/>
              </w:rPr>
            </w:pPr>
          </w:p>
        </w:tc>
        <w:tc>
          <w:tcPr>
            <w:tcW w:w="8539" w:type="dxa"/>
            <w:shd w:val="clear" w:color="auto" w:fill="B3D0D5"/>
          </w:tcPr>
          <w:p w14:paraId="418871E5" w14:textId="77777777" w:rsidR="008A13DE" w:rsidRDefault="00E90047" w:rsidP="005509A4">
            <w:pPr>
              <w:pStyle w:val="Question"/>
              <w:spacing w:before="0" w:after="0"/>
              <w:contextualSpacing/>
            </w:pPr>
            <w:r>
              <w:t xml:space="preserve">In relation to </w:t>
            </w:r>
            <w:r>
              <w:rPr>
                <w:b/>
                <w:bCs/>
              </w:rPr>
              <w:t>5.</w:t>
            </w:r>
            <w:r w:rsidR="00E55D72">
              <w:rPr>
                <w:b/>
                <w:bCs/>
              </w:rPr>
              <w:t>2</w:t>
            </w:r>
            <w:r>
              <w:rPr>
                <w:b/>
                <w:bCs/>
              </w:rPr>
              <w:t xml:space="preserve"> Requirements for supply agreements to be written and contain minimum content</w:t>
            </w:r>
            <w:r w:rsidRPr="001F2FBC">
              <w:t xml:space="preserve">, </w:t>
            </w:r>
            <w:r w:rsidR="008A13DE">
              <w:t xml:space="preserve">which of the options do you agree with, and why? </w:t>
            </w:r>
          </w:p>
          <w:p w14:paraId="54B9A650" w14:textId="281B7C9E" w:rsidR="00E90047" w:rsidRPr="00D76438" w:rsidRDefault="008A13DE" w:rsidP="005509A4">
            <w:pPr>
              <w:pStyle w:val="Question"/>
              <w:spacing w:before="0" w:after="0"/>
              <w:contextualSpacing/>
            </w:pPr>
            <w:r>
              <w:t>Is there any content that you think should be required in grocery supply agreements but is not mentioned?</w:t>
            </w:r>
          </w:p>
        </w:tc>
      </w:tr>
      <w:tr w:rsidR="00E90047" w:rsidRPr="00133B22" w14:paraId="27CD1AED" w14:textId="77777777" w:rsidTr="00E90047">
        <w:trPr>
          <w:cantSplit/>
        </w:trPr>
        <w:tc>
          <w:tcPr>
            <w:tcW w:w="531" w:type="dxa"/>
            <w:shd w:val="clear" w:color="auto" w:fill="006272"/>
            <w:vAlign w:val="center"/>
          </w:tcPr>
          <w:p w14:paraId="69EBBAD7" w14:textId="77777777" w:rsidR="00E90047" w:rsidRPr="00096770" w:rsidRDefault="00E90047" w:rsidP="005509A4">
            <w:pPr>
              <w:pStyle w:val="Questionnumber"/>
              <w:contextualSpacing/>
              <w:rPr>
                <w:color w:val="F2F2F2" w:themeColor="background2" w:themeShade="F2"/>
              </w:rPr>
            </w:pPr>
          </w:p>
        </w:tc>
        <w:tc>
          <w:tcPr>
            <w:tcW w:w="8539" w:type="dxa"/>
            <w:shd w:val="clear" w:color="auto" w:fill="B3D0D5"/>
          </w:tcPr>
          <w:p w14:paraId="136BC0B8" w14:textId="308D4C4C" w:rsidR="00E90047" w:rsidRDefault="00E90047" w:rsidP="005509A4">
            <w:pPr>
              <w:pStyle w:val="Question"/>
              <w:spacing w:before="0" w:after="0"/>
              <w:contextualSpacing/>
            </w:pPr>
            <w:r>
              <w:t xml:space="preserve">In relation to </w:t>
            </w:r>
            <w:r>
              <w:rPr>
                <w:b/>
                <w:bCs/>
              </w:rPr>
              <w:t>5.</w:t>
            </w:r>
            <w:r w:rsidR="00E55D72">
              <w:rPr>
                <w:b/>
                <w:bCs/>
              </w:rPr>
              <w:t>3</w:t>
            </w:r>
            <w:r>
              <w:rPr>
                <w:b/>
                <w:bCs/>
              </w:rPr>
              <w:t xml:space="preserve"> limiting unilateral and retrospective variations</w:t>
            </w:r>
            <w:r w:rsidRPr="001F2FBC">
              <w:t xml:space="preserve">, </w:t>
            </w:r>
            <w:r w:rsidR="008A13DE">
              <w:t>which of the options do you agree with, and why?</w:t>
            </w:r>
          </w:p>
        </w:tc>
      </w:tr>
      <w:tr w:rsidR="00E90047" w:rsidRPr="00133B22" w14:paraId="354A98D7" w14:textId="77777777" w:rsidTr="00E90047">
        <w:trPr>
          <w:cantSplit/>
          <w:trHeight w:val="286"/>
        </w:trPr>
        <w:tc>
          <w:tcPr>
            <w:tcW w:w="531" w:type="dxa"/>
            <w:shd w:val="clear" w:color="auto" w:fill="006272"/>
            <w:vAlign w:val="center"/>
          </w:tcPr>
          <w:p w14:paraId="67775AD8" w14:textId="77777777" w:rsidR="00E90047" w:rsidRPr="00133B22" w:rsidRDefault="00E90047" w:rsidP="005509A4">
            <w:pPr>
              <w:pStyle w:val="Questionnumber"/>
            </w:pPr>
          </w:p>
        </w:tc>
        <w:tc>
          <w:tcPr>
            <w:tcW w:w="8539" w:type="dxa"/>
            <w:shd w:val="clear" w:color="auto" w:fill="B3D0D5"/>
          </w:tcPr>
          <w:p w14:paraId="68E50701" w14:textId="7BFC84CD" w:rsidR="00E90047" w:rsidRPr="00531897" w:rsidRDefault="00E90047" w:rsidP="005509A4">
            <w:pPr>
              <w:pStyle w:val="Numbered"/>
              <w:numPr>
                <w:ilvl w:val="0"/>
                <w:numId w:val="0"/>
              </w:numPr>
              <w:spacing w:before="0"/>
            </w:pPr>
            <w:r>
              <w:t xml:space="preserve">Do you have any comments on the preliminary assessment of the options against the criteria in </w:t>
            </w:r>
            <w:r>
              <w:rPr>
                <w:b/>
                <w:bCs/>
              </w:rPr>
              <w:t>Chapter 5</w:t>
            </w:r>
            <w:r w:rsidRPr="00531897">
              <w:t>?</w:t>
            </w:r>
          </w:p>
        </w:tc>
      </w:tr>
    </w:tbl>
    <w:p w14:paraId="3D50AB43" w14:textId="77777777" w:rsidR="003F3843" w:rsidRDefault="003F3843">
      <w:bookmarkStart w:id="140" w:name="_Toc103173700"/>
      <w:bookmarkStart w:id="141" w:name="_Hlk101444782"/>
      <w:bookmarkStart w:id="142" w:name="_Hlk100604623"/>
      <w:bookmarkStart w:id="143" w:name="_Hlk101444853"/>
      <w:r>
        <w:br w:type="page"/>
      </w:r>
    </w:p>
    <w:p w14:paraId="44A11E87" w14:textId="3AB944C4" w:rsidR="00613281" w:rsidRDefault="006A2D70" w:rsidP="00613281">
      <w:pPr>
        <w:pStyle w:val="Heading1"/>
      </w:pPr>
      <w:bookmarkStart w:id="144" w:name="_Toc104358661"/>
      <w:bookmarkStart w:id="145" w:name="_Toc107919641"/>
      <w:r>
        <w:lastRenderedPageBreak/>
        <w:t>Obligations in relation to product supply</w:t>
      </w:r>
      <w:r w:rsidR="007E7E07">
        <w:t xml:space="preserve"> and placement</w:t>
      </w:r>
      <w:bookmarkEnd w:id="140"/>
      <w:bookmarkEnd w:id="144"/>
      <w:bookmarkEnd w:id="145"/>
    </w:p>
    <w:bookmarkEnd w:id="141"/>
    <w:p w14:paraId="741D0286" w14:textId="77777777" w:rsidR="00613281" w:rsidRDefault="00613281" w:rsidP="00613281">
      <w:pPr>
        <w:pStyle w:val="LineTeal"/>
      </w:pPr>
    </w:p>
    <w:p w14:paraId="02AFC69E" w14:textId="1B775B95" w:rsidR="00870AC1" w:rsidRDefault="00D97100" w:rsidP="00871288">
      <w:pPr>
        <w:pStyle w:val="Heading2"/>
        <w:tabs>
          <w:tab w:val="left" w:pos="567"/>
        </w:tabs>
      </w:pPr>
      <w:bookmarkStart w:id="146" w:name="_Toc103173701"/>
      <w:bookmarkStart w:id="147" w:name="_Toc104358662"/>
      <w:bookmarkStart w:id="148" w:name="_Toc107919642"/>
      <w:bookmarkEnd w:id="142"/>
      <w:r>
        <w:t>6.1</w:t>
      </w:r>
      <w:r w:rsidR="00871288">
        <w:tab/>
      </w:r>
      <w:r w:rsidR="00870AC1">
        <w:t>Approach to this issue</w:t>
      </w:r>
      <w:bookmarkEnd w:id="146"/>
      <w:bookmarkEnd w:id="147"/>
      <w:bookmarkEnd w:id="148"/>
    </w:p>
    <w:p w14:paraId="4F928C64" w14:textId="1A4AAB57" w:rsidR="004D32E3" w:rsidRPr="003B6A8A" w:rsidRDefault="00662A6F" w:rsidP="00AD18CF">
      <w:pPr>
        <w:pStyle w:val="Numbered"/>
      </w:pPr>
      <w:r>
        <w:t>P</w:t>
      </w:r>
      <w:r w:rsidR="00870AC1">
        <w:t>roduct supply and placement</w:t>
      </w:r>
      <w:r>
        <w:t xml:space="preserve"> </w:t>
      </w:r>
      <w:r w:rsidR="00910086">
        <w:t>are</w:t>
      </w:r>
      <w:r>
        <w:t xml:space="preserve"> key aspect</w:t>
      </w:r>
      <w:r w:rsidR="00910086">
        <w:t>s</w:t>
      </w:r>
      <w:r>
        <w:t xml:space="preserve"> of the trading relationship between </w:t>
      </w:r>
      <w:bookmarkStart w:id="149" w:name="_Hlk107253055"/>
      <w:r w:rsidR="006A43F9">
        <w:t xml:space="preserve">designated </w:t>
      </w:r>
      <w:bookmarkEnd w:id="149"/>
      <w:r>
        <w:t xml:space="preserve">retailers and suppliers. </w:t>
      </w:r>
      <w:r w:rsidR="004D32E3" w:rsidRPr="003B6A8A">
        <w:t xml:space="preserve">In relation to product supply and placement, the Code </w:t>
      </w:r>
      <w:r w:rsidR="00D816D8" w:rsidRPr="003B6A8A">
        <w:t>should</w:t>
      </w:r>
      <w:r w:rsidR="00F84FC9">
        <w:t xml:space="preserve"> provide</w:t>
      </w:r>
      <w:r w:rsidR="004D32E3" w:rsidRPr="003B6A8A">
        <w:t>:</w:t>
      </w:r>
    </w:p>
    <w:p w14:paraId="0BE0870B" w14:textId="1E4E1D4F" w:rsidR="003B6A8A" w:rsidRDefault="00D816D8" w:rsidP="00D816D8">
      <w:pPr>
        <w:pStyle w:val="Numbered"/>
        <w:numPr>
          <w:ilvl w:val="1"/>
          <w:numId w:val="1"/>
        </w:numPr>
      </w:pPr>
      <w:r w:rsidRPr="003B6A8A">
        <w:t xml:space="preserve">certainty </w:t>
      </w:r>
      <w:r w:rsidR="0018010A">
        <w:t xml:space="preserve">of supply terms </w:t>
      </w:r>
      <w:r w:rsidR="008453DE">
        <w:t xml:space="preserve">and conditions </w:t>
      </w:r>
      <w:r w:rsidRPr="003B6A8A">
        <w:t xml:space="preserve">by establishing minimum expectations on </w:t>
      </w:r>
      <w:r w:rsidR="008453DE">
        <w:t xml:space="preserve">designated </w:t>
      </w:r>
      <w:r w:rsidRPr="003B6A8A">
        <w:t>retailers</w:t>
      </w:r>
      <w:r w:rsidR="003B6A8A">
        <w:t xml:space="preserve"> </w:t>
      </w:r>
      <w:r w:rsidR="0018010A">
        <w:t>and</w:t>
      </w:r>
      <w:r w:rsidR="004827D5">
        <w:t xml:space="preserve"> by </w:t>
      </w:r>
      <w:r w:rsidR="00731FED">
        <w:t xml:space="preserve">prohibiting or </w:t>
      </w:r>
      <w:r w:rsidR="003B6A8A">
        <w:t xml:space="preserve">limiting </w:t>
      </w:r>
      <w:r w:rsidR="00F84FC9">
        <w:t>certain</w:t>
      </w:r>
      <w:r w:rsidR="003B6A8A">
        <w:t xml:space="preserve"> conduct</w:t>
      </w:r>
    </w:p>
    <w:p w14:paraId="04E59A36" w14:textId="039A6A9C" w:rsidR="00D816D8" w:rsidRDefault="004D32E3" w:rsidP="004D32E3">
      <w:pPr>
        <w:pStyle w:val="Numbered"/>
        <w:numPr>
          <w:ilvl w:val="1"/>
          <w:numId w:val="1"/>
        </w:numPr>
      </w:pPr>
      <w:r w:rsidRPr="003B6A8A">
        <w:t xml:space="preserve">transparency </w:t>
      </w:r>
      <w:r w:rsidR="00D816D8" w:rsidRPr="003B6A8A">
        <w:t>for suppliers by</w:t>
      </w:r>
      <w:r w:rsidR="004827D5">
        <w:t xml:space="preserve"> establishing processes</w:t>
      </w:r>
      <w:r w:rsidR="008453DE">
        <w:t xml:space="preserve"> and </w:t>
      </w:r>
      <w:r w:rsidR="004827D5">
        <w:t xml:space="preserve">timeframes </w:t>
      </w:r>
      <w:r w:rsidR="008453DE">
        <w:t>that designated</w:t>
      </w:r>
      <w:r w:rsidR="004827D5">
        <w:t xml:space="preserve"> retailers must follow </w:t>
      </w:r>
      <w:r w:rsidR="008453DE">
        <w:t xml:space="preserve">for </w:t>
      </w:r>
      <w:r w:rsidR="004827D5">
        <w:t>specific matters</w:t>
      </w:r>
    </w:p>
    <w:p w14:paraId="76A2D586" w14:textId="3E348F80" w:rsidR="003B6A8A" w:rsidRPr="003B6A8A" w:rsidRDefault="007C7830" w:rsidP="00295EF0">
      <w:pPr>
        <w:pStyle w:val="Numbered"/>
        <w:numPr>
          <w:ilvl w:val="1"/>
          <w:numId w:val="1"/>
        </w:numPr>
      </w:pPr>
      <w:r w:rsidRPr="004C5F4E">
        <w:t xml:space="preserve">direction to ensure that costs are </w:t>
      </w:r>
      <w:r>
        <w:t xml:space="preserve">consistently </w:t>
      </w:r>
      <w:r w:rsidRPr="004C5F4E">
        <w:t>met by the most appropriate party</w:t>
      </w:r>
      <w:r w:rsidR="006A43F9">
        <w:t>.</w:t>
      </w:r>
    </w:p>
    <w:p w14:paraId="66A27937" w14:textId="061D3DAF" w:rsidR="00143121" w:rsidRDefault="00FF77C1" w:rsidP="00CF0796">
      <w:pPr>
        <w:pStyle w:val="Numbered"/>
      </w:pPr>
      <w:r>
        <w:t xml:space="preserve">In this chapter we consider options in relation to changes in supply chain processes, fresh produce specifications, </w:t>
      </w:r>
      <w:r w:rsidR="00547A0A">
        <w:t xml:space="preserve">product </w:t>
      </w:r>
      <w:r>
        <w:t xml:space="preserve">ranging, shelf allocation and delisting, as well as </w:t>
      </w:r>
      <w:r w:rsidR="00F84FC9">
        <w:t>a</w:t>
      </w:r>
      <w:r>
        <w:t xml:space="preserve"> selection of other obligations (including in relation to property rights, confidential information, and data).</w:t>
      </w:r>
    </w:p>
    <w:p w14:paraId="64D4E009" w14:textId="07782FDE" w:rsidR="00870AC1" w:rsidRPr="00956828" w:rsidRDefault="0018761E" w:rsidP="00871288">
      <w:pPr>
        <w:pStyle w:val="Heading2"/>
        <w:tabs>
          <w:tab w:val="left" w:pos="567"/>
        </w:tabs>
      </w:pPr>
      <w:bookmarkStart w:id="150" w:name="_Toc103173702"/>
      <w:bookmarkStart w:id="151" w:name="_Toc104358663"/>
      <w:bookmarkStart w:id="152" w:name="_Toc107919643"/>
      <w:r>
        <w:t>6.2</w:t>
      </w:r>
      <w:r w:rsidR="00871288">
        <w:tab/>
      </w:r>
      <w:r w:rsidR="00870AC1" w:rsidRPr="00956828">
        <w:t>Changes in supply chain processes</w:t>
      </w:r>
      <w:bookmarkEnd w:id="150"/>
      <w:bookmarkEnd w:id="151"/>
      <w:r w:rsidR="006A43F9">
        <w:t xml:space="preserve"> and logistics services</w:t>
      </w:r>
      <w:bookmarkEnd w:id="152"/>
    </w:p>
    <w:p w14:paraId="51C407EA" w14:textId="5DDACD0A" w:rsidR="00926542" w:rsidRDefault="00926542" w:rsidP="0018010A">
      <w:pPr>
        <w:pStyle w:val="Numbered"/>
      </w:pPr>
      <w:r w:rsidRPr="009D412F">
        <w:t xml:space="preserve">Supply chain processes </w:t>
      </w:r>
      <w:r w:rsidR="006A43F9">
        <w:t>are about</w:t>
      </w:r>
      <w:r w:rsidR="00F7780D" w:rsidRPr="009D412F">
        <w:t xml:space="preserve"> the delivery of </w:t>
      </w:r>
      <w:r w:rsidR="00F84FC9">
        <w:t>products</w:t>
      </w:r>
      <w:r w:rsidR="00F7780D" w:rsidRPr="009D412F">
        <w:t xml:space="preserve"> </w:t>
      </w:r>
      <w:r w:rsidR="009D412F" w:rsidRPr="009D412F">
        <w:t xml:space="preserve">from the supplier to the </w:t>
      </w:r>
      <w:r w:rsidR="006A43F9">
        <w:t xml:space="preserve">designated </w:t>
      </w:r>
      <w:r w:rsidR="009D412F" w:rsidRPr="009D412F">
        <w:t xml:space="preserve">retailer. </w:t>
      </w:r>
      <w:r w:rsidR="00235969" w:rsidRPr="009D412F">
        <w:t xml:space="preserve">Good processes are essential </w:t>
      </w:r>
      <w:r w:rsidR="006A43F9">
        <w:t xml:space="preserve">for </w:t>
      </w:r>
      <w:r w:rsidR="00235969" w:rsidRPr="009D412F">
        <w:t xml:space="preserve">timely and low-cost </w:t>
      </w:r>
      <w:r w:rsidR="006A43F9">
        <w:t xml:space="preserve">delivery with </w:t>
      </w:r>
      <w:r w:rsidR="009D7CF2">
        <w:t>minim</w:t>
      </w:r>
      <w:r w:rsidR="006A43F9">
        <w:t>al</w:t>
      </w:r>
      <w:r w:rsidR="00235969" w:rsidRPr="009D412F">
        <w:t xml:space="preserve"> damage or loss along the way. </w:t>
      </w:r>
      <w:r w:rsidR="0018010A">
        <w:t>T</w:t>
      </w:r>
      <w:r>
        <w:t xml:space="preserve">here are some </w:t>
      </w:r>
      <w:r w:rsidR="0018010A">
        <w:t xml:space="preserve">details </w:t>
      </w:r>
      <w:r w:rsidR="006A43F9">
        <w:t xml:space="preserve">of supply chain processes </w:t>
      </w:r>
      <w:r w:rsidR="0018010A">
        <w:t>that are likely to be in most supply agreements, such as</w:t>
      </w:r>
      <w:r>
        <w:t>:</w:t>
      </w:r>
    </w:p>
    <w:p w14:paraId="07B780E7" w14:textId="04DCD3D2" w:rsidR="00926542" w:rsidRDefault="00926542" w:rsidP="00926542">
      <w:pPr>
        <w:pStyle w:val="Numbered"/>
        <w:numPr>
          <w:ilvl w:val="1"/>
          <w:numId w:val="1"/>
        </w:numPr>
      </w:pPr>
      <w:r>
        <w:t xml:space="preserve">The expected delivery </w:t>
      </w:r>
      <w:r w:rsidR="00235969">
        <w:t>location</w:t>
      </w:r>
      <w:r w:rsidR="009D412F">
        <w:t>.</w:t>
      </w:r>
      <w:r>
        <w:t xml:space="preserve"> </w:t>
      </w:r>
      <w:r w:rsidR="009D412F">
        <w:t xml:space="preserve">This </w:t>
      </w:r>
      <w:r w:rsidR="00235969">
        <w:t xml:space="preserve">could </w:t>
      </w:r>
      <w:r>
        <w:t>be a retailer’s distribution centre (</w:t>
      </w:r>
      <w:r w:rsidR="00047139">
        <w:t xml:space="preserve">with the </w:t>
      </w:r>
      <w:r w:rsidR="006A43F9">
        <w:t xml:space="preserve">designated </w:t>
      </w:r>
      <w:r>
        <w:t>retailer manag</w:t>
      </w:r>
      <w:r w:rsidR="00047139">
        <w:t>ing</w:t>
      </w:r>
      <w:r>
        <w:t xml:space="preserve"> distribution to retail stores) or </w:t>
      </w:r>
      <w:r w:rsidR="00047139">
        <w:t xml:space="preserve">direct to the </w:t>
      </w:r>
      <w:r>
        <w:t>retail store.</w:t>
      </w:r>
    </w:p>
    <w:p w14:paraId="4506FA34" w14:textId="5CD7C0C5" w:rsidR="00C91A06" w:rsidRDefault="00047139" w:rsidP="00926542">
      <w:pPr>
        <w:pStyle w:val="Numbered"/>
        <w:numPr>
          <w:ilvl w:val="1"/>
          <w:numId w:val="1"/>
        </w:numPr>
      </w:pPr>
      <w:r>
        <w:t>The provider of transportation/</w:t>
      </w:r>
      <w:r w:rsidR="00926542">
        <w:t xml:space="preserve">logistics </w:t>
      </w:r>
      <w:r>
        <w:t xml:space="preserve">services to move </w:t>
      </w:r>
      <w:r w:rsidR="00926542">
        <w:t xml:space="preserve">goods. </w:t>
      </w:r>
    </w:p>
    <w:p w14:paraId="15C34305" w14:textId="5FF54460" w:rsidR="0073657F" w:rsidRDefault="0073657F" w:rsidP="00926542">
      <w:pPr>
        <w:pStyle w:val="Numbered"/>
        <w:numPr>
          <w:ilvl w:val="1"/>
          <w:numId w:val="1"/>
        </w:numPr>
      </w:pPr>
      <w:r>
        <w:t>The timing of any deliveries and other detailed arrangements.</w:t>
      </w:r>
    </w:p>
    <w:p w14:paraId="25182F87" w14:textId="044943F3" w:rsidR="0018010A" w:rsidRPr="0018010A" w:rsidRDefault="0018010A" w:rsidP="0018010A">
      <w:pPr>
        <w:pStyle w:val="Numbered"/>
        <w:numPr>
          <w:ilvl w:val="0"/>
          <w:numId w:val="0"/>
        </w:numPr>
        <w:ind w:left="567" w:hanging="567"/>
        <w:rPr>
          <w:b/>
          <w:bCs/>
        </w:rPr>
      </w:pPr>
      <w:r>
        <w:rPr>
          <w:b/>
          <w:bCs/>
        </w:rPr>
        <w:t>Changing supply chain processes</w:t>
      </w:r>
    </w:p>
    <w:p w14:paraId="31691A06" w14:textId="216DB75D" w:rsidR="0073657F" w:rsidRDefault="00047139" w:rsidP="005C5101">
      <w:pPr>
        <w:pStyle w:val="Numbered"/>
      </w:pPr>
      <w:r>
        <w:t>S</w:t>
      </w:r>
      <w:r w:rsidR="00926542">
        <w:t xml:space="preserve">upply chain processes </w:t>
      </w:r>
      <w:r w:rsidR="004827D5">
        <w:t xml:space="preserve">must </w:t>
      </w:r>
      <w:r>
        <w:t xml:space="preserve">be flexible </w:t>
      </w:r>
      <w:r w:rsidR="004827D5">
        <w:t xml:space="preserve">to </w:t>
      </w:r>
      <w:r w:rsidR="00D1543F">
        <w:t>accommodate changes in</w:t>
      </w:r>
      <w:r w:rsidR="009D412F">
        <w:t xml:space="preserve"> the </w:t>
      </w:r>
      <w:r w:rsidR="00926542">
        <w:t xml:space="preserve">commercial </w:t>
      </w:r>
      <w:r w:rsidR="009D412F">
        <w:t xml:space="preserve">environment. </w:t>
      </w:r>
      <w:r w:rsidR="006A43F9">
        <w:t>L</w:t>
      </w:r>
      <w:r w:rsidR="009D412F">
        <w:t xml:space="preserve">ocking-down all details of </w:t>
      </w:r>
      <w:r w:rsidR="00D1543F">
        <w:t xml:space="preserve">the </w:t>
      </w:r>
      <w:r w:rsidR="009D412F">
        <w:t xml:space="preserve">supply </w:t>
      </w:r>
      <w:r w:rsidR="00D1543F">
        <w:t xml:space="preserve">chain process </w:t>
      </w:r>
      <w:r w:rsidR="009D412F">
        <w:t xml:space="preserve">in </w:t>
      </w:r>
      <w:r w:rsidR="006A43F9">
        <w:t>a</w:t>
      </w:r>
      <w:r w:rsidR="009D412F">
        <w:t xml:space="preserve"> </w:t>
      </w:r>
      <w:r w:rsidR="008453DE">
        <w:t xml:space="preserve">grocery </w:t>
      </w:r>
      <w:r w:rsidR="009D412F">
        <w:t xml:space="preserve">supply agreement may </w:t>
      </w:r>
      <w:r w:rsidR="00731FED">
        <w:t>create</w:t>
      </w:r>
      <w:r w:rsidR="009D412F">
        <w:t xml:space="preserve"> additional cost</w:t>
      </w:r>
      <w:r w:rsidR="00731FED">
        <w:t>s</w:t>
      </w:r>
      <w:r w:rsidR="009D412F">
        <w:t xml:space="preserve"> </w:t>
      </w:r>
      <w:r w:rsidR="006A43F9">
        <w:t xml:space="preserve">if the agreement needs to be </w:t>
      </w:r>
      <w:r w:rsidR="009D412F">
        <w:t>regular</w:t>
      </w:r>
      <w:r w:rsidR="001C0638">
        <w:t>ly</w:t>
      </w:r>
      <w:r w:rsidR="009D412F">
        <w:t xml:space="preserve"> renegotiat</w:t>
      </w:r>
      <w:r w:rsidR="001C0638">
        <w:t>e</w:t>
      </w:r>
      <w:r w:rsidR="006A43F9">
        <w:t>d.</w:t>
      </w:r>
    </w:p>
    <w:p w14:paraId="0B8DEC6F" w14:textId="7F3DFD5D" w:rsidR="00C91A06" w:rsidRDefault="008453DE" w:rsidP="000A62C8">
      <w:pPr>
        <w:pStyle w:val="Numbered"/>
      </w:pPr>
      <w:r>
        <w:t>T</w:t>
      </w:r>
      <w:r w:rsidR="009D412F">
        <w:t xml:space="preserve">he </w:t>
      </w:r>
      <w:r w:rsidR="00457B92">
        <w:t xml:space="preserve">Code </w:t>
      </w:r>
      <w:r w:rsidR="00731FED">
        <w:t>should not prohibit or excessively limit the ability to make changes to supply chain processes</w:t>
      </w:r>
      <w:r w:rsidR="00D27A03">
        <w:t>,</w:t>
      </w:r>
      <w:r w:rsidR="00731FED">
        <w:t xml:space="preserve"> </w:t>
      </w:r>
      <w:r w:rsidR="006A43F9">
        <w:t xml:space="preserve">and should allow for some </w:t>
      </w:r>
      <w:r w:rsidR="00731FED">
        <w:t xml:space="preserve">unilateral </w:t>
      </w:r>
      <w:r>
        <w:t>variations</w:t>
      </w:r>
      <w:r w:rsidR="00731FED">
        <w:t xml:space="preserve"> </w:t>
      </w:r>
      <w:r w:rsidR="006A43F9">
        <w:t xml:space="preserve">as </w:t>
      </w:r>
      <w:r w:rsidR="00731FED">
        <w:t xml:space="preserve">discussed in </w:t>
      </w:r>
      <w:r w:rsidR="00D27A03">
        <w:rPr>
          <w:b/>
          <w:bCs/>
        </w:rPr>
        <w:t>C</w:t>
      </w:r>
      <w:r w:rsidR="00731FED">
        <w:rPr>
          <w:b/>
          <w:bCs/>
        </w:rPr>
        <w:t>hapter</w:t>
      </w:r>
      <w:r w:rsidR="00731FED" w:rsidRPr="00731FED">
        <w:rPr>
          <w:b/>
          <w:bCs/>
        </w:rPr>
        <w:t xml:space="preserve"> 5.</w:t>
      </w:r>
      <w:r w:rsidR="0018010A">
        <w:rPr>
          <w:b/>
          <w:bCs/>
        </w:rPr>
        <w:t>4</w:t>
      </w:r>
      <w:r w:rsidR="00D27A03" w:rsidRPr="006A43F9">
        <w:t>.</w:t>
      </w:r>
      <w:r w:rsidR="00731FED">
        <w:t xml:space="preserve"> </w:t>
      </w:r>
      <w:r w:rsidR="006A43F9">
        <w:t xml:space="preserve">However, the </w:t>
      </w:r>
      <w:r w:rsidR="00D27A03">
        <w:t>Code</w:t>
      </w:r>
      <w:r w:rsidR="006A43F9">
        <w:t xml:space="preserve"> should</w:t>
      </w:r>
      <w:r w:rsidR="00731FED">
        <w:t xml:space="preserve"> put processes in place to improve </w:t>
      </w:r>
      <w:r>
        <w:t xml:space="preserve">transparency around any changes </w:t>
      </w:r>
      <w:r w:rsidR="006A43F9">
        <w:t xml:space="preserve">to </w:t>
      </w:r>
      <w:r>
        <w:t xml:space="preserve">supply chain processes </w:t>
      </w:r>
      <w:r w:rsidR="009D412F">
        <w:t xml:space="preserve">and </w:t>
      </w:r>
      <w:r>
        <w:t xml:space="preserve">some </w:t>
      </w:r>
      <w:r w:rsidR="006A43F9">
        <w:t xml:space="preserve">direction </w:t>
      </w:r>
      <w:r>
        <w:t>to stop</w:t>
      </w:r>
      <w:r w:rsidR="00731FED">
        <w:t xml:space="preserve"> suppliers</w:t>
      </w:r>
      <w:r w:rsidR="00457B92">
        <w:t xml:space="preserve"> </w:t>
      </w:r>
      <w:r w:rsidR="009D412F">
        <w:t xml:space="preserve">from </w:t>
      </w:r>
      <w:r>
        <w:t xml:space="preserve">being pressured into accepting </w:t>
      </w:r>
      <w:r w:rsidR="009D412F">
        <w:t xml:space="preserve">costs </w:t>
      </w:r>
      <w:r w:rsidR="008810D9">
        <w:t>to the benefit of</w:t>
      </w:r>
      <w:r>
        <w:t xml:space="preserve"> the designated retailer</w:t>
      </w:r>
      <w:r w:rsidR="000E048D">
        <w:t xml:space="preserve">. </w:t>
      </w:r>
    </w:p>
    <w:p w14:paraId="02FB608F" w14:textId="62D3960B" w:rsidR="00870AC1" w:rsidRDefault="0073657F" w:rsidP="005A442F">
      <w:pPr>
        <w:pStyle w:val="Numbered"/>
      </w:pPr>
      <w:r>
        <w:t>B</w:t>
      </w:r>
      <w:r w:rsidR="00870AC1">
        <w:t xml:space="preserve">oth </w:t>
      </w:r>
      <w:r w:rsidR="00870AC1" w:rsidRPr="00870AC1">
        <w:t>Australia</w:t>
      </w:r>
      <w:r w:rsidR="00870AC1">
        <w:t xml:space="preserve"> and the UK have requirements in relation to supply chain procedures </w:t>
      </w:r>
      <w:r>
        <w:t xml:space="preserve">or </w:t>
      </w:r>
      <w:r w:rsidR="00870AC1">
        <w:t>delivery criteria</w:t>
      </w:r>
      <w:r w:rsidR="00723469">
        <w:t>, as</w:t>
      </w:r>
      <w:r w:rsidR="00870AC1">
        <w:t xml:space="preserve"> summarised in the </w:t>
      </w:r>
      <w:r w:rsidR="005A442F">
        <w:t>table</w:t>
      </w:r>
      <w:r w:rsidR="00870AC1">
        <w:t>.</w:t>
      </w:r>
    </w:p>
    <w:tbl>
      <w:tblPr>
        <w:tblStyle w:val="TableGrid"/>
        <w:tblW w:w="0" w:type="auto"/>
        <w:tblInd w:w="134"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none" w:sz="0" w:space="0" w:color="auto"/>
          <w:insideV w:val="none" w:sz="0" w:space="0" w:color="auto"/>
        </w:tblBorders>
        <w:shd w:val="clear" w:color="auto" w:fill="D9D9D9" w:themeFill="background1" w:themeFillShade="D9"/>
        <w:tblCellMar>
          <w:top w:w="113" w:type="dxa"/>
          <w:bottom w:w="57" w:type="dxa"/>
        </w:tblCellMar>
        <w:tblLook w:val="04A0" w:firstRow="1" w:lastRow="0" w:firstColumn="1" w:lastColumn="0" w:noHBand="0" w:noVBand="1"/>
      </w:tblPr>
      <w:tblGrid>
        <w:gridCol w:w="3686"/>
        <w:gridCol w:w="5234"/>
      </w:tblGrid>
      <w:tr w:rsidR="003F34D6" w14:paraId="0C396E9C" w14:textId="1B813E18" w:rsidTr="003F34D6">
        <w:tc>
          <w:tcPr>
            <w:tcW w:w="3686" w:type="dxa"/>
            <w:tcBorders>
              <w:top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Pr>
          <w:p w14:paraId="0BDE450D" w14:textId="7A5E51D0" w:rsidR="003F34D6" w:rsidRDefault="003F34D6" w:rsidP="003F34D6">
            <w:pPr>
              <w:rPr>
                <w:b/>
                <w:bCs/>
                <w:sz w:val="20"/>
                <w:szCs w:val="20"/>
              </w:rPr>
            </w:pPr>
            <w:r>
              <w:rPr>
                <w:b/>
                <w:bCs/>
                <w:sz w:val="20"/>
                <w:szCs w:val="20"/>
              </w:rPr>
              <w:lastRenderedPageBreak/>
              <w:t>The UK Code (Code, article 4)</w:t>
            </w:r>
          </w:p>
          <w:p w14:paraId="34611A44" w14:textId="3AF430BF" w:rsidR="003F34D6" w:rsidRDefault="0018010A" w:rsidP="0018010A">
            <w:pPr>
              <w:rPr>
                <w:b/>
                <w:bCs/>
                <w:sz w:val="20"/>
                <w:szCs w:val="20"/>
              </w:rPr>
            </w:pPr>
            <w:r>
              <w:rPr>
                <w:sz w:val="20"/>
                <w:szCs w:val="20"/>
              </w:rPr>
              <w:t>Prohibit significant changes by a retailer</w:t>
            </w:r>
            <w:r w:rsidR="00723469">
              <w:rPr>
                <w:sz w:val="20"/>
                <w:szCs w:val="20"/>
              </w:rPr>
              <w:t>,</w:t>
            </w:r>
            <w:r>
              <w:rPr>
                <w:sz w:val="20"/>
                <w:szCs w:val="20"/>
              </w:rPr>
              <w:t xml:space="preserve"> except where it gives reasonable notice in writing. Require compensation otherwise. </w:t>
            </w:r>
          </w:p>
        </w:tc>
        <w:tc>
          <w:tcPr>
            <w:tcW w:w="5234" w:type="dxa"/>
            <w:tcBorders>
              <w:top w:val="single" w:sz="6" w:space="0" w:color="A6A6A6" w:themeColor="background1" w:themeShade="A6"/>
              <w:left w:val="single" w:sz="6" w:space="0" w:color="A6A6A6" w:themeColor="background1" w:themeShade="A6"/>
              <w:bottom w:val="single" w:sz="6" w:space="0" w:color="A6A6A6" w:themeColor="background1" w:themeShade="A6"/>
            </w:tcBorders>
            <w:shd w:val="clear" w:color="auto" w:fill="D9D9D9" w:themeFill="background1" w:themeFillShade="D9"/>
          </w:tcPr>
          <w:p w14:paraId="6CD1E3E2" w14:textId="77777777" w:rsidR="003F34D6" w:rsidRDefault="003F34D6" w:rsidP="003F34D6">
            <w:pPr>
              <w:rPr>
                <w:b/>
                <w:bCs/>
                <w:sz w:val="20"/>
                <w:szCs w:val="20"/>
              </w:rPr>
            </w:pPr>
            <w:r>
              <w:rPr>
                <w:b/>
                <w:bCs/>
                <w:sz w:val="20"/>
                <w:szCs w:val="20"/>
              </w:rPr>
              <w:t xml:space="preserve">The </w:t>
            </w:r>
            <w:r w:rsidRPr="00A52685">
              <w:rPr>
                <w:b/>
                <w:bCs/>
                <w:sz w:val="20"/>
                <w:szCs w:val="20"/>
              </w:rPr>
              <w:t xml:space="preserve">Australian Code </w:t>
            </w:r>
            <w:r>
              <w:rPr>
                <w:b/>
                <w:bCs/>
                <w:sz w:val="20"/>
                <w:szCs w:val="20"/>
              </w:rPr>
              <w:t>(section 22 and section 9)</w:t>
            </w:r>
          </w:p>
          <w:p w14:paraId="251D21DC" w14:textId="77777777" w:rsidR="0018010A" w:rsidRDefault="0018010A" w:rsidP="008F0AFE">
            <w:pPr>
              <w:spacing w:after="120"/>
              <w:rPr>
                <w:sz w:val="20"/>
                <w:szCs w:val="20"/>
              </w:rPr>
            </w:pPr>
            <w:r>
              <w:rPr>
                <w:sz w:val="20"/>
                <w:szCs w:val="20"/>
              </w:rPr>
              <w:t>Prohibit material changes by a retailer</w:t>
            </w:r>
            <w:r w:rsidR="00723469">
              <w:rPr>
                <w:sz w:val="20"/>
                <w:szCs w:val="20"/>
              </w:rPr>
              <w:t>,</w:t>
            </w:r>
            <w:r>
              <w:rPr>
                <w:sz w:val="20"/>
                <w:szCs w:val="20"/>
              </w:rPr>
              <w:t xml:space="preserve"> except where it gives reasonable notice in writing. Require compensation otherwise.</w:t>
            </w:r>
          </w:p>
          <w:p w14:paraId="4837D305" w14:textId="2B652890" w:rsidR="003F34D6" w:rsidRDefault="003F34D6" w:rsidP="008F0AFE">
            <w:pPr>
              <w:spacing w:after="120"/>
              <w:rPr>
                <w:b/>
                <w:bCs/>
                <w:sz w:val="20"/>
                <w:szCs w:val="20"/>
              </w:rPr>
            </w:pPr>
            <w:r>
              <w:rPr>
                <w:sz w:val="20"/>
                <w:szCs w:val="20"/>
              </w:rPr>
              <w:t>This is a unilateral variation</w:t>
            </w:r>
            <w:r w:rsidR="0018010A">
              <w:rPr>
                <w:sz w:val="20"/>
                <w:szCs w:val="20"/>
              </w:rPr>
              <w:t xml:space="preserve">, so it is only permitted where specifically set out in </w:t>
            </w:r>
            <w:r w:rsidR="00723469">
              <w:rPr>
                <w:sz w:val="20"/>
                <w:szCs w:val="20"/>
              </w:rPr>
              <w:t xml:space="preserve">the </w:t>
            </w:r>
            <w:r w:rsidR="008453DE">
              <w:rPr>
                <w:sz w:val="20"/>
                <w:szCs w:val="20"/>
              </w:rPr>
              <w:t xml:space="preserve">grocery </w:t>
            </w:r>
            <w:r w:rsidR="0018010A">
              <w:rPr>
                <w:sz w:val="20"/>
                <w:szCs w:val="20"/>
              </w:rPr>
              <w:t>supply agreement with sufficient detail and reasonable in the circumstances.</w:t>
            </w:r>
          </w:p>
        </w:tc>
      </w:tr>
    </w:tbl>
    <w:p w14:paraId="6D001795" w14:textId="61F4472F" w:rsidR="00585B00" w:rsidRPr="00585B00" w:rsidRDefault="00585B00" w:rsidP="00585B00">
      <w:pPr>
        <w:pStyle w:val="Numbered"/>
        <w:numPr>
          <w:ilvl w:val="0"/>
          <w:numId w:val="0"/>
        </w:numPr>
        <w:rPr>
          <w:b/>
          <w:bCs/>
        </w:rPr>
      </w:pPr>
      <w:r>
        <w:rPr>
          <w:b/>
          <w:bCs/>
        </w:rPr>
        <w:t xml:space="preserve">Limiting </w:t>
      </w:r>
      <w:r w:rsidR="0018010A">
        <w:rPr>
          <w:b/>
          <w:bCs/>
        </w:rPr>
        <w:t>pressure to use particular logistics services</w:t>
      </w:r>
    </w:p>
    <w:p w14:paraId="0D146D0F" w14:textId="2964A44B" w:rsidR="006A0E1A" w:rsidRDefault="0018010A" w:rsidP="0018010A">
      <w:pPr>
        <w:pStyle w:val="Numbered"/>
      </w:pPr>
      <w:r>
        <w:t xml:space="preserve">There </w:t>
      </w:r>
      <w:r w:rsidR="006A0E1A">
        <w:t>are two ways in which a</w:t>
      </w:r>
      <w:r w:rsidR="006A43F9" w:rsidRPr="006A43F9">
        <w:t xml:space="preserve"> </w:t>
      </w:r>
      <w:r w:rsidR="006A43F9">
        <w:t>designated</w:t>
      </w:r>
      <w:r w:rsidR="006A0E1A">
        <w:t xml:space="preserve"> retailer may profit from a supplier using a particular logistics </w:t>
      </w:r>
      <w:r w:rsidR="00723469">
        <w:t xml:space="preserve">services </w:t>
      </w:r>
      <w:r w:rsidR="006A0E1A">
        <w:t>supplier:</w:t>
      </w:r>
    </w:p>
    <w:p w14:paraId="2A81CEEC" w14:textId="15EEE05D" w:rsidR="006A0E1A" w:rsidRDefault="00723469" w:rsidP="006A0E1A">
      <w:pPr>
        <w:pStyle w:val="Numbered"/>
        <w:numPr>
          <w:ilvl w:val="1"/>
          <w:numId w:val="1"/>
        </w:numPr>
      </w:pPr>
      <w:r>
        <w:t>i</w:t>
      </w:r>
      <w:r w:rsidR="006A0E1A">
        <w:t xml:space="preserve">f the supplier uses the </w:t>
      </w:r>
      <w:r w:rsidR="006A43F9">
        <w:t xml:space="preserve">designated </w:t>
      </w:r>
      <w:r w:rsidR="006A0E1A">
        <w:t>retailer’s own inhouse logistics services, or</w:t>
      </w:r>
    </w:p>
    <w:p w14:paraId="04417AA1" w14:textId="1126CC87" w:rsidR="006A0E1A" w:rsidRDefault="00723469" w:rsidP="006A0E1A">
      <w:pPr>
        <w:pStyle w:val="Numbered"/>
        <w:numPr>
          <w:ilvl w:val="1"/>
          <w:numId w:val="1"/>
        </w:numPr>
      </w:pPr>
      <w:r>
        <w:t>i</w:t>
      </w:r>
      <w:r w:rsidR="006A0E1A">
        <w:t xml:space="preserve">f the supplier agrees to use a third-party logistics </w:t>
      </w:r>
      <w:r>
        <w:t xml:space="preserve">services </w:t>
      </w:r>
      <w:r w:rsidR="006A0E1A">
        <w:t xml:space="preserve">supplier that is providing a payment back to the </w:t>
      </w:r>
      <w:r w:rsidR="006A43F9">
        <w:t xml:space="preserve">designated </w:t>
      </w:r>
      <w:r w:rsidR="006A0E1A">
        <w:t xml:space="preserve">retailer. </w:t>
      </w:r>
    </w:p>
    <w:p w14:paraId="7A1D6708" w14:textId="59351CB2" w:rsidR="006A0E1A" w:rsidRDefault="006A0E1A" w:rsidP="006A0E1A">
      <w:pPr>
        <w:pStyle w:val="Numbered"/>
      </w:pPr>
      <w:r>
        <w:t>It is not clear if this is an issue in New Zealand</w:t>
      </w:r>
      <w:r w:rsidR="008453DE">
        <w:t xml:space="preserve"> at the moment, although we </w:t>
      </w:r>
      <w:r w:rsidR="00466A00">
        <w:t xml:space="preserve">understand </w:t>
      </w:r>
      <w:r w:rsidR="008453DE">
        <w:t>it may have been in the past</w:t>
      </w:r>
      <w:r>
        <w:t xml:space="preserve">. It appears to have been an issue in the UK – </w:t>
      </w:r>
      <w:r w:rsidR="006A43F9">
        <w:t>and</w:t>
      </w:r>
      <w:r>
        <w:t xml:space="preserve"> the UK Code places some limitations around the use of third-party service providers</w:t>
      </w:r>
      <w:r w:rsidR="006A43F9">
        <w:t>.</w:t>
      </w:r>
      <w:r>
        <w:t xml:space="preserve"> </w:t>
      </w:r>
    </w:p>
    <w:p w14:paraId="775F3C50" w14:textId="2BA2E4B2" w:rsidR="006A0E1A" w:rsidRPr="00ED4B33" w:rsidRDefault="006A43F9" w:rsidP="006A0E1A">
      <w:pPr>
        <w:pStyle w:val="Numbered"/>
      </w:pPr>
      <w:r>
        <w:t>T</w:t>
      </w:r>
      <w:r w:rsidR="006A0E1A" w:rsidRPr="00870AC1">
        <w:t>he options we are considering</w:t>
      </w:r>
      <w:r w:rsidR="006A0E1A">
        <w:t xml:space="preserve"> are</w:t>
      </w:r>
      <w:r>
        <w:t>:</w:t>
      </w:r>
    </w:p>
    <w:tbl>
      <w:tblPr>
        <w:tblStyle w:val="TableGrid"/>
        <w:tblW w:w="9214"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57" w:type="dxa"/>
          <w:bottom w:w="57" w:type="dxa"/>
        </w:tblCellMar>
        <w:tblLook w:val="0600" w:firstRow="0" w:lastRow="0" w:firstColumn="0" w:lastColumn="0" w:noHBand="1" w:noVBand="1"/>
      </w:tblPr>
      <w:tblGrid>
        <w:gridCol w:w="2694"/>
        <w:gridCol w:w="3260"/>
        <w:gridCol w:w="3260"/>
      </w:tblGrid>
      <w:tr w:rsidR="0018761E" w:rsidRPr="00D3390A" w14:paraId="3876B1EA" w14:textId="77777777" w:rsidTr="000E44D0">
        <w:tc>
          <w:tcPr>
            <w:tcW w:w="2694" w:type="dxa"/>
            <w:shd w:val="clear" w:color="auto" w:fill="B3D0D5"/>
          </w:tcPr>
          <w:p w14:paraId="4C1FCC37" w14:textId="77777777" w:rsidR="0018761E" w:rsidRPr="00466A00" w:rsidRDefault="0018761E" w:rsidP="000E44D0">
            <w:pPr>
              <w:pStyle w:val="Numbered"/>
              <w:numPr>
                <w:ilvl w:val="0"/>
                <w:numId w:val="0"/>
              </w:numPr>
              <w:spacing w:before="0"/>
              <w:contextualSpacing/>
              <w:rPr>
                <w:sz w:val="20"/>
                <w:szCs w:val="20"/>
              </w:rPr>
            </w:pPr>
            <w:bookmarkStart w:id="153" w:name="_Toc103173703"/>
            <w:r w:rsidRPr="00466A00">
              <w:rPr>
                <w:b/>
                <w:bCs/>
                <w:sz w:val="20"/>
                <w:szCs w:val="20"/>
              </w:rPr>
              <w:t xml:space="preserve">Option 1 (Principle-based Code): </w:t>
            </w:r>
          </w:p>
        </w:tc>
        <w:tc>
          <w:tcPr>
            <w:tcW w:w="3260" w:type="dxa"/>
            <w:shd w:val="clear" w:color="auto" w:fill="B3D0D5"/>
          </w:tcPr>
          <w:p w14:paraId="7AEA4234" w14:textId="05615A0B" w:rsidR="0018761E" w:rsidRPr="00466A00" w:rsidRDefault="00D3390A" w:rsidP="000E44D0">
            <w:pPr>
              <w:pStyle w:val="Numbered"/>
              <w:numPr>
                <w:ilvl w:val="0"/>
                <w:numId w:val="0"/>
              </w:numPr>
              <w:spacing w:before="0"/>
              <w:contextualSpacing/>
              <w:rPr>
                <w:sz w:val="20"/>
                <w:szCs w:val="20"/>
              </w:rPr>
            </w:pPr>
            <w:r w:rsidRPr="00D3390A">
              <w:rPr>
                <w:b/>
                <w:bCs/>
                <w:sz w:val="20"/>
                <w:szCs w:val="20"/>
              </w:rPr>
              <w:t>Option 2 (Prescriptive Code):</w:t>
            </w:r>
          </w:p>
        </w:tc>
        <w:tc>
          <w:tcPr>
            <w:tcW w:w="3260" w:type="dxa"/>
            <w:shd w:val="clear" w:color="auto" w:fill="B3D0D5"/>
          </w:tcPr>
          <w:p w14:paraId="07FAB822" w14:textId="1901F70B" w:rsidR="0018761E" w:rsidRPr="00466A00" w:rsidRDefault="0018761E" w:rsidP="000E44D0">
            <w:pPr>
              <w:pStyle w:val="Numbered"/>
              <w:numPr>
                <w:ilvl w:val="0"/>
                <w:numId w:val="0"/>
              </w:numPr>
              <w:spacing w:before="0"/>
              <w:contextualSpacing/>
              <w:rPr>
                <w:sz w:val="20"/>
                <w:szCs w:val="20"/>
              </w:rPr>
            </w:pPr>
            <w:r w:rsidRPr="00466A00">
              <w:rPr>
                <w:b/>
                <w:bCs/>
                <w:sz w:val="20"/>
                <w:szCs w:val="20"/>
              </w:rPr>
              <w:t>Option 3 (</w:t>
            </w:r>
            <w:r w:rsidR="00D3390A" w:rsidRPr="00D3390A">
              <w:rPr>
                <w:b/>
                <w:bCs/>
                <w:sz w:val="20"/>
                <w:szCs w:val="20"/>
              </w:rPr>
              <w:t xml:space="preserve">Alternative </w:t>
            </w:r>
            <w:r w:rsidRPr="00466A00">
              <w:rPr>
                <w:b/>
                <w:bCs/>
                <w:sz w:val="20"/>
                <w:szCs w:val="20"/>
              </w:rPr>
              <w:t xml:space="preserve">Code): </w:t>
            </w:r>
          </w:p>
        </w:tc>
      </w:tr>
      <w:tr w:rsidR="0018761E" w:rsidRPr="000E44D0" w14:paraId="6DC1B2A1" w14:textId="77777777" w:rsidTr="000E44D0">
        <w:tc>
          <w:tcPr>
            <w:tcW w:w="2694" w:type="dxa"/>
            <w:shd w:val="clear" w:color="auto" w:fill="B3D0D5"/>
          </w:tcPr>
          <w:p w14:paraId="5BCD318C" w14:textId="5C0B3A91" w:rsidR="006A0E1A" w:rsidRDefault="0018761E" w:rsidP="008F0AFE">
            <w:pPr>
              <w:pStyle w:val="Numbered"/>
              <w:numPr>
                <w:ilvl w:val="0"/>
                <w:numId w:val="0"/>
              </w:numPr>
              <w:spacing w:before="0" w:after="120"/>
              <w:rPr>
                <w:sz w:val="20"/>
                <w:szCs w:val="20"/>
              </w:rPr>
            </w:pPr>
            <w:r w:rsidRPr="000E44D0">
              <w:rPr>
                <w:sz w:val="20"/>
                <w:szCs w:val="20"/>
              </w:rPr>
              <w:t xml:space="preserve">Allow significant unilateral changes to supply chain procedures </w:t>
            </w:r>
            <w:r w:rsidR="006A0E1A">
              <w:rPr>
                <w:sz w:val="20"/>
                <w:szCs w:val="20"/>
              </w:rPr>
              <w:t>if</w:t>
            </w:r>
            <w:r w:rsidRPr="000E44D0">
              <w:rPr>
                <w:sz w:val="20"/>
                <w:szCs w:val="20"/>
              </w:rPr>
              <w:t xml:space="preserve"> reasonable notice</w:t>
            </w:r>
            <w:r w:rsidR="006A0E1A">
              <w:rPr>
                <w:sz w:val="20"/>
                <w:szCs w:val="20"/>
              </w:rPr>
              <w:t xml:space="preserve"> is provided. </w:t>
            </w:r>
          </w:p>
          <w:p w14:paraId="1CB272AF" w14:textId="1541A608" w:rsidR="00110F0E" w:rsidRPr="000E44D0" w:rsidRDefault="006A0E1A" w:rsidP="008F0AFE">
            <w:pPr>
              <w:pStyle w:val="Numbered"/>
              <w:numPr>
                <w:ilvl w:val="0"/>
                <w:numId w:val="0"/>
              </w:numPr>
              <w:spacing w:before="0" w:after="120"/>
              <w:rPr>
                <w:sz w:val="20"/>
                <w:szCs w:val="20"/>
              </w:rPr>
            </w:pPr>
            <w:r>
              <w:rPr>
                <w:sz w:val="20"/>
                <w:szCs w:val="20"/>
              </w:rPr>
              <w:t>R</w:t>
            </w:r>
            <w:r w:rsidR="0018761E" w:rsidRPr="000E44D0">
              <w:rPr>
                <w:sz w:val="20"/>
                <w:szCs w:val="20"/>
              </w:rPr>
              <w:t xml:space="preserve">equire compensation </w:t>
            </w:r>
            <w:r>
              <w:rPr>
                <w:sz w:val="20"/>
                <w:szCs w:val="20"/>
              </w:rPr>
              <w:t>otherwise</w:t>
            </w:r>
            <w:r w:rsidR="0018761E" w:rsidRPr="000E44D0">
              <w:rPr>
                <w:sz w:val="20"/>
                <w:szCs w:val="20"/>
              </w:rPr>
              <w:t xml:space="preserve">. </w:t>
            </w:r>
          </w:p>
        </w:tc>
        <w:tc>
          <w:tcPr>
            <w:tcW w:w="3260" w:type="dxa"/>
            <w:shd w:val="clear" w:color="auto" w:fill="B3D0D5"/>
          </w:tcPr>
          <w:p w14:paraId="517D1ABD" w14:textId="296DA3B0" w:rsidR="008F0AFE" w:rsidRDefault="006A0E1A" w:rsidP="008F0AFE">
            <w:pPr>
              <w:pStyle w:val="Numbered"/>
              <w:numPr>
                <w:ilvl w:val="0"/>
                <w:numId w:val="0"/>
              </w:numPr>
              <w:spacing w:before="0" w:after="120"/>
              <w:rPr>
                <w:sz w:val="20"/>
                <w:szCs w:val="20"/>
              </w:rPr>
            </w:pPr>
            <w:r>
              <w:rPr>
                <w:sz w:val="20"/>
                <w:szCs w:val="20"/>
              </w:rPr>
              <w:t xml:space="preserve">Prohibit </w:t>
            </w:r>
            <w:r w:rsidR="0018761E" w:rsidRPr="000E44D0">
              <w:rPr>
                <w:sz w:val="20"/>
                <w:szCs w:val="20"/>
              </w:rPr>
              <w:t xml:space="preserve">material unilateral changes to supply chain procedures </w:t>
            </w:r>
            <w:r>
              <w:rPr>
                <w:sz w:val="20"/>
                <w:szCs w:val="20"/>
              </w:rPr>
              <w:t>except where</w:t>
            </w:r>
            <w:r w:rsidR="0018761E" w:rsidRPr="000E44D0">
              <w:rPr>
                <w:sz w:val="20"/>
                <w:szCs w:val="20"/>
              </w:rPr>
              <w:t xml:space="preserve"> provided in the supply agreement and reasonable in the circumstances,</w:t>
            </w:r>
            <w:r w:rsidR="00044E26">
              <w:rPr>
                <w:rStyle w:val="FootnoteReference"/>
                <w:sz w:val="20"/>
                <w:szCs w:val="20"/>
              </w:rPr>
              <w:footnoteReference w:id="22"/>
            </w:r>
            <w:r>
              <w:rPr>
                <w:sz w:val="20"/>
                <w:szCs w:val="20"/>
              </w:rPr>
              <w:t xml:space="preserve"> as well as reasonable notice provided to the supplier.</w:t>
            </w:r>
          </w:p>
          <w:p w14:paraId="665E71FF" w14:textId="4777A086" w:rsidR="0018761E" w:rsidRPr="000E44D0" w:rsidRDefault="006A0E1A" w:rsidP="008F0AFE">
            <w:pPr>
              <w:pStyle w:val="Numbered"/>
              <w:numPr>
                <w:ilvl w:val="0"/>
                <w:numId w:val="0"/>
              </w:numPr>
              <w:spacing w:before="0" w:after="120"/>
              <w:rPr>
                <w:sz w:val="20"/>
                <w:szCs w:val="20"/>
              </w:rPr>
            </w:pPr>
            <w:r>
              <w:rPr>
                <w:sz w:val="20"/>
                <w:szCs w:val="20"/>
              </w:rPr>
              <w:t>R</w:t>
            </w:r>
            <w:r w:rsidR="0018761E" w:rsidRPr="000E44D0">
              <w:rPr>
                <w:sz w:val="20"/>
                <w:szCs w:val="20"/>
              </w:rPr>
              <w:t>equire compensation if reasonable notice is not provided.</w:t>
            </w:r>
          </w:p>
        </w:tc>
        <w:tc>
          <w:tcPr>
            <w:tcW w:w="3260" w:type="dxa"/>
            <w:shd w:val="clear" w:color="auto" w:fill="B3D0D5"/>
          </w:tcPr>
          <w:p w14:paraId="75FC5E7C" w14:textId="53072C9A" w:rsidR="0018761E" w:rsidRPr="000E44D0" w:rsidRDefault="0018761E" w:rsidP="00466A00">
            <w:pPr>
              <w:pStyle w:val="Numbered"/>
              <w:numPr>
                <w:ilvl w:val="0"/>
                <w:numId w:val="0"/>
              </w:numPr>
              <w:spacing w:before="0"/>
              <w:contextualSpacing/>
              <w:rPr>
                <w:sz w:val="20"/>
                <w:szCs w:val="20"/>
              </w:rPr>
            </w:pPr>
            <w:r w:rsidRPr="000E44D0">
              <w:rPr>
                <w:sz w:val="20"/>
                <w:szCs w:val="20"/>
              </w:rPr>
              <w:t xml:space="preserve">Option 2 </w:t>
            </w:r>
            <w:r w:rsidR="00F92A79">
              <w:rPr>
                <w:sz w:val="20"/>
                <w:szCs w:val="20"/>
              </w:rPr>
              <w:t>plus</w:t>
            </w:r>
            <w:r w:rsidR="00466A00">
              <w:rPr>
                <w:sz w:val="20"/>
                <w:szCs w:val="20"/>
              </w:rPr>
              <w:t xml:space="preserve"> </w:t>
            </w:r>
            <w:r w:rsidR="00F92A79">
              <w:rPr>
                <w:sz w:val="20"/>
                <w:szCs w:val="20"/>
              </w:rPr>
              <w:t>p</w:t>
            </w:r>
            <w:r w:rsidR="004C3E43">
              <w:rPr>
                <w:sz w:val="20"/>
                <w:szCs w:val="20"/>
              </w:rPr>
              <w:t xml:space="preserve">rohibit a </w:t>
            </w:r>
            <w:r w:rsidR="002869F1">
              <w:rPr>
                <w:sz w:val="20"/>
                <w:szCs w:val="20"/>
              </w:rPr>
              <w:t xml:space="preserve">designated </w:t>
            </w:r>
            <w:r w:rsidR="004C3E43">
              <w:rPr>
                <w:sz w:val="20"/>
                <w:szCs w:val="20"/>
              </w:rPr>
              <w:t>retailer from pressuring or requiring a supplier to use their own logistics services</w:t>
            </w:r>
            <w:r w:rsidR="00110F0E">
              <w:rPr>
                <w:sz w:val="20"/>
                <w:szCs w:val="20"/>
              </w:rPr>
              <w:t xml:space="preserve"> or a third party</w:t>
            </w:r>
            <w:r w:rsidR="00466A00">
              <w:rPr>
                <w:sz w:val="20"/>
                <w:szCs w:val="20"/>
              </w:rPr>
              <w:t>, unless the service is lower cost than the supplier’s preferred service provider, or the supplier’s preferred service provider does not meet reasonable service standards.</w:t>
            </w:r>
            <w:r w:rsidR="00110F0E">
              <w:rPr>
                <w:sz w:val="20"/>
                <w:szCs w:val="20"/>
              </w:rPr>
              <w:t xml:space="preserve"> </w:t>
            </w:r>
          </w:p>
        </w:tc>
      </w:tr>
    </w:tbl>
    <w:p w14:paraId="728875CF" w14:textId="77777777" w:rsidR="006A43F9" w:rsidRDefault="00110F0E" w:rsidP="00652FEB">
      <w:pPr>
        <w:pStyle w:val="Numbered"/>
      </w:pPr>
      <w:r>
        <w:t xml:space="preserve">The material difference between </w:t>
      </w:r>
      <w:r>
        <w:rPr>
          <w:b/>
          <w:bCs/>
        </w:rPr>
        <w:t>Option</w:t>
      </w:r>
      <w:r w:rsidR="0048555A">
        <w:rPr>
          <w:b/>
          <w:bCs/>
        </w:rPr>
        <w:t>s</w:t>
      </w:r>
      <w:r>
        <w:rPr>
          <w:b/>
          <w:bCs/>
        </w:rPr>
        <w:t xml:space="preserve"> 1 and 2 </w:t>
      </w:r>
      <w:r>
        <w:t xml:space="preserve">is the ability of a </w:t>
      </w:r>
      <w:r w:rsidR="002869F1">
        <w:t xml:space="preserve">designated </w:t>
      </w:r>
      <w:r>
        <w:t>retailer to make unilateral changes</w:t>
      </w:r>
      <w:r w:rsidR="008810D9">
        <w:t xml:space="preserve"> in relation to supply chain procedures</w:t>
      </w:r>
      <w:r>
        <w:t xml:space="preserve">. </w:t>
      </w:r>
    </w:p>
    <w:p w14:paraId="781C6F2C" w14:textId="353D00B2" w:rsidR="006A43F9" w:rsidRDefault="006A43F9" w:rsidP="006A43F9">
      <w:pPr>
        <w:pStyle w:val="Numbered"/>
      </w:pPr>
      <w:r>
        <w:rPr>
          <w:b/>
          <w:bCs/>
        </w:rPr>
        <w:t>Option 1</w:t>
      </w:r>
      <w:r>
        <w:t xml:space="preserve"> is least effective because it allows unilateral changes to supply chain procedures with reasonable notice. This would give suppliers advance warning of costs, but would not protect suppliers from costs being imposed upon them to the benefit of the designated retailer. This option is </w:t>
      </w:r>
      <w:r w:rsidR="00044E26">
        <w:t xml:space="preserve">relatively </w:t>
      </w:r>
      <w:r>
        <w:t xml:space="preserve">efficient because it </w:t>
      </w:r>
      <w:r w:rsidR="00044E26">
        <w:t xml:space="preserve">imposes less extra cost on </w:t>
      </w:r>
      <w:r>
        <w:t>designated retailers.</w:t>
      </w:r>
    </w:p>
    <w:p w14:paraId="030784F3" w14:textId="3E8843C2" w:rsidR="00652FEB" w:rsidRDefault="00110F0E" w:rsidP="00044E26">
      <w:pPr>
        <w:pStyle w:val="Numbered"/>
      </w:pPr>
      <w:r>
        <w:rPr>
          <w:b/>
          <w:bCs/>
        </w:rPr>
        <w:lastRenderedPageBreak/>
        <w:t xml:space="preserve">Option 2 </w:t>
      </w:r>
      <w:r w:rsidR="00044E26">
        <w:t>is more effective. It provides</w:t>
      </w:r>
      <w:r w:rsidRPr="008810D9">
        <w:t xml:space="preserve"> </w:t>
      </w:r>
      <w:r w:rsidR="008810D9" w:rsidRPr="008810D9">
        <w:t xml:space="preserve">more </w:t>
      </w:r>
      <w:r w:rsidRPr="008810D9">
        <w:t>protection for suppliers</w:t>
      </w:r>
      <w:r w:rsidR="00652FEB" w:rsidRPr="008810D9">
        <w:t xml:space="preserve"> from unexpected costs</w:t>
      </w:r>
      <w:r w:rsidRPr="008810D9">
        <w:t xml:space="preserve"> by </w:t>
      </w:r>
      <w:r w:rsidR="00044E26">
        <w:t xml:space="preserve">limiting when </w:t>
      </w:r>
      <w:r w:rsidRPr="008810D9">
        <w:t>a material chang</w:t>
      </w:r>
      <w:r>
        <w:t xml:space="preserve">e to supply chain processes </w:t>
      </w:r>
      <w:r w:rsidR="00044E26">
        <w:t xml:space="preserve">may be made and providing clearer direction about how the costs and benefits should be shared. However this option is less efficient because it may impose extra costs on designated retailers. </w:t>
      </w:r>
    </w:p>
    <w:p w14:paraId="2901A885" w14:textId="6B334171" w:rsidR="00652FEB" w:rsidRDefault="00652FEB" w:rsidP="00652FEB">
      <w:pPr>
        <w:pStyle w:val="Numbered"/>
      </w:pPr>
      <w:r w:rsidRPr="009B1E27">
        <w:rPr>
          <w:b/>
          <w:bCs/>
        </w:rPr>
        <w:t>Option 3</w:t>
      </w:r>
      <w:r>
        <w:t xml:space="preserve"> </w:t>
      </w:r>
      <w:r w:rsidR="00044E26">
        <w:t xml:space="preserve">is as effective and efficient as </w:t>
      </w:r>
      <w:r w:rsidR="00044E26">
        <w:rPr>
          <w:b/>
          <w:bCs/>
        </w:rPr>
        <w:t xml:space="preserve">option </w:t>
      </w:r>
      <w:r w:rsidR="00044E26" w:rsidRPr="00044E26">
        <w:rPr>
          <w:b/>
          <w:bCs/>
        </w:rPr>
        <w:t>2</w:t>
      </w:r>
      <w:r w:rsidR="00044E26">
        <w:t xml:space="preserve">, but more durable because it addresses a potential issue that has arisen in the past and may arise again in the future – namely </w:t>
      </w:r>
      <w:r>
        <w:t>protect</w:t>
      </w:r>
      <w:r w:rsidR="00044E26">
        <w:t>ing</w:t>
      </w:r>
      <w:r>
        <w:t xml:space="preserve"> suppliers from being pressured into using a service from which the </w:t>
      </w:r>
      <w:r w:rsidR="008810D9">
        <w:t xml:space="preserve">designated </w:t>
      </w:r>
      <w:r>
        <w:t xml:space="preserve">retailer derives a benefit. </w:t>
      </w:r>
    </w:p>
    <w:p w14:paraId="2CC3D1EB" w14:textId="33666093" w:rsidR="00652FEB" w:rsidRDefault="009B1E27" w:rsidP="009B1E27">
      <w:pPr>
        <w:pStyle w:val="Numbered"/>
      </w:pPr>
      <w:r>
        <w:t>No</w:t>
      </w:r>
      <w:r w:rsidR="00A86BF3">
        <w:t>ne of the</w:t>
      </w:r>
      <w:r>
        <w:t xml:space="preserve"> options </w:t>
      </w:r>
      <w:r w:rsidR="00652FEB">
        <w:t>prohibi</w:t>
      </w:r>
      <w:r>
        <w:t>t</w:t>
      </w:r>
      <w:r w:rsidR="00652FEB">
        <w:t xml:space="preserve"> unilateral changes to supply chain processes</w:t>
      </w:r>
      <w:r w:rsidR="00602C65">
        <w:t xml:space="preserve">, which could prevent designated </w:t>
      </w:r>
      <w:r w:rsidR="00652FEB">
        <w:t xml:space="preserve">retailers and suppliers </w:t>
      </w:r>
      <w:r w:rsidR="00602C65">
        <w:t xml:space="preserve">from </w:t>
      </w:r>
      <w:r w:rsidR="00652FEB">
        <w:t>adapt</w:t>
      </w:r>
      <w:r w:rsidR="00602C65">
        <w:t>ing</w:t>
      </w:r>
      <w:r w:rsidR="00652FEB">
        <w:t xml:space="preserve"> to </w:t>
      </w:r>
      <w:r w:rsidR="00B16441">
        <w:t>the</w:t>
      </w:r>
      <w:r w:rsidR="00602C65">
        <w:t xml:space="preserve"> </w:t>
      </w:r>
      <w:r w:rsidR="00652FEB">
        <w:t xml:space="preserve">changing commercial </w:t>
      </w:r>
      <w:r w:rsidR="00B16441">
        <w:t>environment</w:t>
      </w:r>
      <w:r w:rsidR="00652FEB">
        <w:t xml:space="preserve"> and could stifle investment in more efficient supply chain processes. </w:t>
      </w:r>
    </w:p>
    <w:p w14:paraId="2C76DDFE" w14:textId="68C8BA95" w:rsidR="00870AC1" w:rsidRDefault="003A4609" w:rsidP="00871288">
      <w:pPr>
        <w:pStyle w:val="Heading2"/>
        <w:tabs>
          <w:tab w:val="left" w:pos="567"/>
        </w:tabs>
      </w:pPr>
      <w:bookmarkStart w:id="154" w:name="_Toc104358664"/>
      <w:bookmarkStart w:id="155" w:name="_Toc107919644"/>
      <w:r>
        <w:t>6.3</w:t>
      </w:r>
      <w:r w:rsidR="00871288">
        <w:tab/>
      </w:r>
      <w:r w:rsidR="00870AC1">
        <w:t>Fresh produce standards and quality specifications</w:t>
      </w:r>
      <w:bookmarkEnd w:id="153"/>
      <w:bookmarkEnd w:id="154"/>
      <w:bookmarkEnd w:id="155"/>
    </w:p>
    <w:p w14:paraId="549283F9" w14:textId="0A10F4B9" w:rsidR="009B1E27" w:rsidRDefault="00870AC1" w:rsidP="00AC46FB">
      <w:pPr>
        <w:pStyle w:val="Numbered"/>
      </w:pPr>
      <w:r>
        <w:t xml:space="preserve">The Commission noted that the perishable nature of fresh produce </w:t>
      </w:r>
      <w:r w:rsidR="00B50203">
        <w:t xml:space="preserve">may </w:t>
      </w:r>
      <w:r>
        <w:t>need to be specifically addressed in a Code</w:t>
      </w:r>
      <w:r w:rsidR="00A72D16">
        <w:t>.</w:t>
      </w:r>
      <w:r w:rsidR="00D13C6E">
        <w:rPr>
          <w:rStyle w:val="FootnoteReference"/>
        </w:rPr>
        <w:footnoteReference w:id="23"/>
      </w:r>
      <w:r w:rsidR="00A72D16">
        <w:t xml:space="preserve"> </w:t>
      </w:r>
      <w:r w:rsidR="009B1E27">
        <w:t xml:space="preserve">Fresh produce suppliers may </w:t>
      </w:r>
      <w:r w:rsidR="00044E26">
        <w:t>need</w:t>
      </w:r>
      <w:r w:rsidR="004A1C65">
        <w:t>:</w:t>
      </w:r>
    </w:p>
    <w:p w14:paraId="13DDC006" w14:textId="47890A17" w:rsidR="009B1E27" w:rsidRDefault="009B1E27" w:rsidP="009B1E27">
      <w:pPr>
        <w:pStyle w:val="Numbered"/>
        <w:numPr>
          <w:ilvl w:val="1"/>
          <w:numId w:val="1"/>
        </w:numPr>
      </w:pPr>
      <w:r>
        <w:t xml:space="preserve">certainty and transparency around the </w:t>
      </w:r>
      <w:r w:rsidRPr="00870AC1">
        <w:t xml:space="preserve">terms of supply, </w:t>
      </w:r>
      <w:r>
        <w:t xml:space="preserve">including the </w:t>
      </w:r>
      <w:r w:rsidR="00D26740">
        <w:t xml:space="preserve">designated </w:t>
      </w:r>
      <w:r>
        <w:t>retailer’s expectations for fresh produce quality and processes for accepting (or rejecting) produce</w:t>
      </w:r>
    </w:p>
    <w:p w14:paraId="3D1C747B" w14:textId="00405FF3" w:rsidR="009B1E27" w:rsidRDefault="00D26740" w:rsidP="009B1E27">
      <w:pPr>
        <w:pStyle w:val="Numbered"/>
        <w:numPr>
          <w:ilvl w:val="1"/>
          <w:numId w:val="1"/>
        </w:numPr>
      </w:pPr>
      <w:r>
        <w:t>protections</w:t>
      </w:r>
      <w:r w:rsidR="009B1E27">
        <w:t xml:space="preserve"> </w:t>
      </w:r>
      <w:r w:rsidR="0086370E">
        <w:t>if</w:t>
      </w:r>
      <w:r w:rsidR="009B1E27">
        <w:t xml:space="preserve"> </w:t>
      </w:r>
      <w:r w:rsidR="009B1E27" w:rsidRPr="00870AC1">
        <w:t xml:space="preserve">suppliers </w:t>
      </w:r>
      <w:r w:rsidR="009B1E27">
        <w:t xml:space="preserve">may be </w:t>
      </w:r>
      <w:r w:rsidR="009B1E27" w:rsidRPr="00870AC1">
        <w:t>vulnerable to last-minute renegotiation</w:t>
      </w:r>
      <w:r w:rsidR="009B1E27">
        <w:t xml:space="preserve"> on terms that could expose them to additional risks or costs</w:t>
      </w:r>
      <w:r>
        <w:t>.</w:t>
      </w:r>
    </w:p>
    <w:p w14:paraId="1DF80A07" w14:textId="4F3C036B" w:rsidR="00870AC1" w:rsidRDefault="00C261E5" w:rsidP="00DA1E87">
      <w:pPr>
        <w:pStyle w:val="Numbered"/>
      </w:pPr>
      <w:r>
        <w:t>T</w:t>
      </w:r>
      <w:r w:rsidR="00CC0541">
        <w:t xml:space="preserve">he </w:t>
      </w:r>
      <w:r>
        <w:t xml:space="preserve">UK </w:t>
      </w:r>
      <w:r w:rsidR="008F4C44">
        <w:t xml:space="preserve">Code </w:t>
      </w:r>
      <w:r w:rsidR="00CC0541">
        <w:t xml:space="preserve">does not have any </w:t>
      </w:r>
      <w:r w:rsidR="008F4C44">
        <w:t xml:space="preserve">specific provisions around the supply of </w:t>
      </w:r>
      <w:r w:rsidR="00CC0541">
        <w:t>fresh produce</w:t>
      </w:r>
      <w:r>
        <w:t xml:space="preserve">. </w:t>
      </w:r>
      <w:r w:rsidR="009B1E27">
        <w:t>T</w:t>
      </w:r>
      <w:r w:rsidR="00CC0541">
        <w:t xml:space="preserve">he </w:t>
      </w:r>
      <w:r w:rsidR="00870AC1" w:rsidRPr="00870AC1">
        <w:t>Australia</w:t>
      </w:r>
      <w:r w:rsidR="00CC0541">
        <w:t xml:space="preserve">n </w:t>
      </w:r>
      <w:r w:rsidR="00870AC1" w:rsidRPr="00870AC1">
        <w:t>Code</w:t>
      </w:r>
      <w:r w:rsidR="00CC0541">
        <w:t xml:space="preserve"> does</w:t>
      </w:r>
      <w:r w:rsidR="00D26740">
        <w:t>, in relation to fresh fruit and vegetables</w:t>
      </w:r>
      <w:r w:rsidR="008F4C44">
        <w:t>.</w:t>
      </w:r>
      <w:r w:rsidR="009B1E27">
        <w:t xml:space="preserve"> </w:t>
      </w:r>
      <w:r w:rsidR="008F4C44">
        <w:t xml:space="preserve">It </w:t>
      </w:r>
      <w:r w:rsidR="009B1E27">
        <w:t>outlin</w:t>
      </w:r>
      <w:r w:rsidR="008F4C44">
        <w:t>es</w:t>
      </w:r>
      <w:r w:rsidR="009B1E27">
        <w:t xml:space="preserve"> acceptance (and rejection) processes in relation to </w:t>
      </w:r>
      <w:r w:rsidR="009B1E27" w:rsidRPr="00E76374">
        <w:t>fresh produce standards or quality specifications</w:t>
      </w:r>
      <w:r w:rsidR="009B1E27">
        <w:rPr>
          <w:rStyle w:val="FootnoteReference"/>
        </w:rPr>
        <w:footnoteReference w:id="24"/>
      </w:r>
      <w:r w:rsidR="009B1E27">
        <w:t xml:space="preserve"> with timeframes of a maximum of 24 hours to reject produce and a requirement to notify the supplier within 48 hours if produce is declined. It also sets a maximum time of 30 days for any claim for damaged produce or shortfalls</w:t>
      </w:r>
      <w:r w:rsidR="009B1E27">
        <w:rPr>
          <w:rStyle w:val="FootnoteReference"/>
        </w:rPr>
        <w:footnoteReference w:id="25"/>
      </w:r>
      <w:r w:rsidR="009B1E27">
        <w:t xml:space="preserve"> (</w:t>
      </w:r>
      <w:r w:rsidR="00327C57">
        <w:t>see</w:t>
      </w:r>
      <w:r w:rsidR="009B1E27">
        <w:t xml:space="preserve"> section 21 of the Australian Code).</w:t>
      </w:r>
    </w:p>
    <w:p w14:paraId="4FA5629E" w14:textId="1E61B388" w:rsidR="00870AC1" w:rsidRDefault="00B44CC6" w:rsidP="002B2EB1">
      <w:pPr>
        <w:pStyle w:val="Numbered"/>
      </w:pPr>
      <w:r w:rsidRPr="00C261E5">
        <w:t xml:space="preserve">Any provisions in relation to fresh produce should </w:t>
      </w:r>
      <w:r>
        <w:t>fit</w:t>
      </w:r>
      <w:r w:rsidRPr="00C261E5">
        <w:t xml:space="preserve"> the </w:t>
      </w:r>
      <w:r>
        <w:t>New Zealand</w:t>
      </w:r>
      <w:r w:rsidRPr="00C261E5">
        <w:t xml:space="preserve"> market. </w:t>
      </w:r>
      <w:r w:rsidR="00D1216D">
        <w:t>W</w:t>
      </w:r>
      <w:r w:rsidR="00E8705F">
        <w:t xml:space="preserve">e understand </w:t>
      </w:r>
      <w:r w:rsidR="00D1216D">
        <w:t xml:space="preserve">fresh </w:t>
      </w:r>
      <w:r w:rsidR="00E8705F">
        <w:t xml:space="preserve">produce </w:t>
      </w:r>
      <w:r w:rsidR="00D1216D">
        <w:t xml:space="preserve">in New Zealand is often </w:t>
      </w:r>
      <w:r w:rsidR="002F7328">
        <w:t xml:space="preserve">checked when it is received </w:t>
      </w:r>
      <w:r w:rsidR="00D1216D">
        <w:t xml:space="preserve">and is accepted (or rejected) </w:t>
      </w:r>
      <w:r w:rsidR="00E8705F">
        <w:t>well within 24 hour</w:t>
      </w:r>
      <w:r w:rsidR="00232AB2">
        <w:t>s</w:t>
      </w:r>
      <w:r w:rsidR="00E8705F">
        <w:t xml:space="preserve">. </w:t>
      </w:r>
      <w:r w:rsidR="00862179">
        <w:t>Requiring</w:t>
      </w:r>
      <w:r w:rsidR="00E8705F">
        <w:t xml:space="preserve"> </w:t>
      </w:r>
      <w:r w:rsidR="00C76BA0">
        <w:t xml:space="preserve">faster </w:t>
      </w:r>
      <w:r w:rsidR="00D1216D">
        <w:t xml:space="preserve">acceptance </w:t>
      </w:r>
      <w:r w:rsidR="00862179">
        <w:t>or rejection</w:t>
      </w:r>
      <w:r w:rsidR="00C76BA0">
        <w:t xml:space="preserve"> </w:t>
      </w:r>
      <w:r w:rsidR="00862179">
        <w:t>– such as 12 hours</w:t>
      </w:r>
      <w:r w:rsidR="00E8705F">
        <w:t xml:space="preserve"> </w:t>
      </w:r>
      <w:r w:rsidR="00862179">
        <w:t xml:space="preserve">– may </w:t>
      </w:r>
      <w:r w:rsidR="00E8705F">
        <w:t>result in instances of non-compliance by retailers that are not a material problem to suppliers</w:t>
      </w:r>
      <w:r w:rsidR="00862179">
        <w:t xml:space="preserve">. </w:t>
      </w:r>
    </w:p>
    <w:p w14:paraId="1090E28F" w14:textId="58D91BF2" w:rsidR="00232AB2" w:rsidRPr="00ED4B33" w:rsidRDefault="00232AB2" w:rsidP="0062393D">
      <w:pPr>
        <w:pStyle w:val="Numbered"/>
      </w:pPr>
      <w:r>
        <w:t>T</w:t>
      </w:r>
      <w:r w:rsidRPr="00870AC1">
        <w:t xml:space="preserve">he </w:t>
      </w:r>
      <w:r w:rsidR="00B44CC6">
        <w:t xml:space="preserve">three </w:t>
      </w:r>
      <w:r w:rsidRPr="00870AC1">
        <w:t>options we are considering</w:t>
      </w:r>
      <w:r>
        <w:t xml:space="preserve"> are</w:t>
      </w:r>
      <w:r w:rsidR="00044E26">
        <w:t>:</w:t>
      </w:r>
    </w:p>
    <w:tbl>
      <w:tblPr>
        <w:tblStyle w:val="TableGrid"/>
        <w:tblW w:w="9214"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1843"/>
        <w:gridCol w:w="5387"/>
        <w:gridCol w:w="1984"/>
      </w:tblGrid>
      <w:tr w:rsidR="003A4609" w:rsidRPr="00D3390A" w14:paraId="1C28DA2A" w14:textId="77777777" w:rsidTr="00DD3D33">
        <w:tc>
          <w:tcPr>
            <w:tcW w:w="1843" w:type="dxa"/>
            <w:shd w:val="clear" w:color="auto" w:fill="B3D0D5"/>
          </w:tcPr>
          <w:p w14:paraId="0032E4C1" w14:textId="77777777" w:rsidR="003A4609" w:rsidRPr="00D26740" w:rsidRDefault="003A4609" w:rsidP="00C76BA0">
            <w:pPr>
              <w:pStyle w:val="Numbered"/>
              <w:numPr>
                <w:ilvl w:val="0"/>
                <w:numId w:val="0"/>
              </w:numPr>
              <w:spacing w:before="0"/>
              <w:rPr>
                <w:sz w:val="20"/>
                <w:szCs w:val="20"/>
              </w:rPr>
            </w:pPr>
            <w:bookmarkStart w:id="156" w:name="_Toc103173704"/>
            <w:r w:rsidRPr="00D26740">
              <w:rPr>
                <w:b/>
                <w:bCs/>
                <w:sz w:val="20"/>
                <w:szCs w:val="20"/>
              </w:rPr>
              <w:lastRenderedPageBreak/>
              <w:t xml:space="preserve">Option 1 (Principle-based Code): </w:t>
            </w:r>
          </w:p>
        </w:tc>
        <w:tc>
          <w:tcPr>
            <w:tcW w:w="5387" w:type="dxa"/>
            <w:shd w:val="clear" w:color="auto" w:fill="B3D0D5"/>
          </w:tcPr>
          <w:p w14:paraId="3B7E6F3E" w14:textId="17A5FB23" w:rsidR="003A4609" w:rsidRPr="00D26740" w:rsidRDefault="00D3390A" w:rsidP="00C76BA0">
            <w:pPr>
              <w:pStyle w:val="Numbered"/>
              <w:numPr>
                <w:ilvl w:val="0"/>
                <w:numId w:val="0"/>
              </w:numPr>
              <w:spacing w:before="0"/>
              <w:rPr>
                <w:sz w:val="20"/>
                <w:szCs w:val="20"/>
              </w:rPr>
            </w:pPr>
            <w:r w:rsidRPr="00D3390A">
              <w:rPr>
                <w:b/>
                <w:bCs/>
                <w:sz w:val="20"/>
                <w:szCs w:val="20"/>
              </w:rPr>
              <w:t>Option 2 (Prescriptive Code):</w:t>
            </w:r>
          </w:p>
        </w:tc>
        <w:tc>
          <w:tcPr>
            <w:tcW w:w="1984" w:type="dxa"/>
            <w:shd w:val="clear" w:color="auto" w:fill="B3D0D5"/>
          </w:tcPr>
          <w:p w14:paraId="7C7E8107" w14:textId="42F0FF83" w:rsidR="003A4609" w:rsidRPr="00D26740" w:rsidRDefault="003A4609" w:rsidP="00C76BA0">
            <w:pPr>
              <w:pStyle w:val="Numbered"/>
              <w:numPr>
                <w:ilvl w:val="0"/>
                <w:numId w:val="0"/>
              </w:numPr>
              <w:spacing w:before="0"/>
              <w:rPr>
                <w:sz w:val="20"/>
                <w:szCs w:val="20"/>
              </w:rPr>
            </w:pPr>
            <w:r w:rsidRPr="00D26740">
              <w:rPr>
                <w:b/>
                <w:bCs/>
                <w:sz w:val="20"/>
                <w:szCs w:val="20"/>
              </w:rPr>
              <w:t>Option 3 (</w:t>
            </w:r>
            <w:r w:rsidR="00D3390A" w:rsidRPr="00D3390A">
              <w:rPr>
                <w:b/>
                <w:bCs/>
                <w:sz w:val="20"/>
                <w:szCs w:val="20"/>
              </w:rPr>
              <w:t xml:space="preserve">Alternative </w:t>
            </w:r>
            <w:r w:rsidRPr="00D26740">
              <w:rPr>
                <w:b/>
                <w:bCs/>
                <w:sz w:val="20"/>
                <w:szCs w:val="20"/>
              </w:rPr>
              <w:t xml:space="preserve">Code): </w:t>
            </w:r>
          </w:p>
        </w:tc>
      </w:tr>
      <w:tr w:rsidR="0086370E" w:rsidRPr="00C76BA0" w14:paraId="07AD39DF" w14:textId="77777777" w:rsidTr="00DD3D33">
        <w:tc>
          <w:tcPr>
            <w:tcW w:w="1843" w:type="dxa"/>
            <w:shd w:val="clear" w:color="auto" w:fill="B3D0D5"/>
          </w:tcPr>
          <w:p w14:paraId="71F2A231" w14:textId="77777777" w:rsidR="0086370E" w:rsidRDefault="0086370E" w:rsidP="008F0AFE">
            <w:pPr>
              <w:pStyle w:val="Numbered"/>
              <w:numPr>
                <w:ilvl w:val="0"/>
                <w:numId w:val="0"/>
              </w:numPr>
              <w:spacing w:before="0" w:after="120"/>
              <w:rPr>
                <w:sz w:val="20"/>
                <w:szCs w:val="20"/>
              </w:rPr>
            </w:pPr>
            <w:r>
              <w:rPr>
                <w:sz w:val="20"/>
                <w:szCs w:val="20"/>
              </w:rPr>
              <w:t xml:space="preserve">No provision. </w:t>
            </w:r>
          </w:p>
          <w:p w14:paraId="66463108" w14:textId="30ACCD6C" w:rsidR="0086370E" w:rsidRPr="00C76BA0" w:rsidRDefault="0086370E" w:rsidP="008F0AFE">
            <w:pPr>
              <w:pStyle w:val="Numbered"/>
              <w:numPr>
                <w:ilvl w:val="0"/>
                <w:numId w:val="0"/>
              </w:numPr>
              <w:spacing w:before="0" w:after="120"/>
              <w:rPr>
                <w:sz w:val="20"/>
                <w:szCs w:val="20"/>
              </w:rPr>
            </w:pPr>
            <w:r>
              <w:rPr>
                <w:sz w:val="20"/>
                <w:szCs w:val="20"/>
              </w:rPr>
              <w:t>Rely on Good faith</w:t>
            </w:r>
            <w:r w:rsidRPr="00C76BA0">
              <w:rPr>
                <w:sz w:val="20"/>
                <w:szCs w:val="20"/>
              </w:rPr>
              <w:t>.</w:t>
            </w:r>
          </w:p>
        </w:tc>
        <w:tc>
          <w:tcPr>
            <w:tcW w:w="5387" w:type="dxa"/>
            <w:shd w:val="clear" w:color="auto" w:fill="B3D0D5"/>
          </w:tcPr>
          <w:p w14:paraId="663640BA" w14:textId="2F4CAE58" w:rsidR="0086370E" w:rsidRPr="00C76BA0" w:rsidRDefault="0086370E" w:rsidP="00C76BA0">
            <w:pPr>
              <w:pStyle w:val="Numbered"/>
              <w:numPr>
                <w:ilvl w:val="0"/>
                <w:numId w:val="0"/>
              </w:numPr>
              <w:spacing w:before="0" w:after="120"/>
              <w:rPr>
                <w:sz w:val="20"/>
                <w:szCs w:val="20"/>
              </w:rPr>
            </w:pPr>
            <w:r w:rsidRPr="00C76BA0">
              <w:rPr>
                <w:sz w:val="20"/>
                <w:szCs w:val="20"/>
              </w:rPr>
              <w:t xml:space="preserve">Require </w:t>
            </w:r>
            <w:r>
              <w:rPr>
                <w:sz w:val="20"/>
                <w:szCs w:val="20"/>
              </w:rPr>
              <w:t xml:space="preserve">designated </w:t>
            </w:r>
            <w:r w:rsidRPr="00C76BA0">
              <w:rPr>
                <w:sz w:val="20"/>
                <w:szCs w:val="20"/>
              </w:rPr>
              <w:t xml:space="preserve">retailer to have fresh produce standards or quality specifications </w:t>
            </w:r>
            <w:r>
              <w:rPr>
                <w:sz w:val="20"/>
                <w:szCs w:val="20"/>
              </w:rPr>
              <w:t xml:space="preserve">and to use them without discrimination. </w:t>
            </w:r>
          </w:p>
          <w:p w14:paraId="11D85A59" w14:textId="77777777" w:rsidR="0086370E" w:rsidRDefault="0086370E" w:rsidP="0086370E">
            <w:pPr>
              <w:pStyle w:val="Numbered"/>
              <w:numPr>
                <w:ilvl w:val="0"/>
                <w:numId w:val="0"/>
              </w:numPr>
              <w:spacing w:before="0" w:after="120"/>
              <w:rPr>
                <w:sz w:val="20"/>
                <w:szCs w:val="20"/>
              </w:rPr>
            </w:pPr>
            <w:r>
              <w:rPr>
                <w:sz w:val="20"/>
                <w:szCs w:val="20"/>
              </w:rPr>
              <w:t xml:space="preserve">Establish processes and timeframes to accept/reject produce: Must accept produce if it meets the standards or specifications and cannot reject produce after accepting it. Cannot reject produce after </w:t>
            </w:r>
            <w:r w:rsidRPr="00C76BA0">
              <w:rPr>
                <w:sz w:val="20"/>
                <w:szCs w:val="20"/>
              </w:rPr>
              <w:t xml:space="preserve">24 hours of receiving </w:t>
            </w:r>
            <w:r>
              <w:rPr>
                <w:sz w:val="20"/>
                <w:szCs w:val="20"/>
              </w:rPr>
              <w:t>it</w:t>
            </w:r>
            <w:r w:rsidRPr="00C76BA0">
              <w:rPr>
                <w:sz w:val="20"/>
                <w:szCs w:val="20"/>
              </w:rPr>
              <w:t xml:space="preserve">. </w:t>
            </w:r>
          </w:p>
          <w:p w14:paraId="08943B1D" w14:textId="2B1CFB10" w:rsidR="0086370E" w:rsidRPr="00C76BA0" w:rsidRDefault="0086370E" w:rsidP="0086370E">
            <w:pPr>
              <w:pStyle w:val="Numbered"/>
              <w:numPr>
                <w:ilvl w:val="0"/>
                <w:numId w:val="0"/>
              </w:numPr>
              <w:spacing w:before="0" w:after="120"/>
              <w:rPr>
                <w:sz w:val="20"/>
                <w:szCs w:val="20"/>
              </w:rPr>
            </w:pPr>
            <w:r w:rsidRPr="00C76BA0">
              <w:rPr>
                <w:sz w:val="20"/>
                <w:szCs w:val="20"/>
              </w:rPr>
              <w:t>If produce is rejected, written notice must be provided within 48 hours.</w:t>
            </w:r>
          </w:p>
          <w:p w14:paraId="1F2DB4A1" w14:textId="39AC8953" w:rsidR="0086370E" w:rsidRPr="00C76BA0" w:rsidRDefault="0086370E" w:rsidP="0086370E">
            <w:pPr>
              <w:pStyle w:val="Numbered"/>
              <w:numPr>
                <w:ilvl w:val="0"/>
                <w:numId w:val="0"/>
              </w:numPr>
              <w:spacing w:before="0" w:after="120"/>
              <w:rPr>
                <w:sz w:val="20"/>
                <w:szCs w:val="20"/>
              </w:rPr>
            </w:pPr>
            <w:r w:rsidRPr="00C76BA0">
              <w:rPr>
                <w:sz w:val="20"/>
                <w:szCs w:val="20"/>
              </w:rPr>
              <w:t>Any claims for damaged grocery products, shortfalls, or any similar claim must be within 30 days of delivery.</w:t>
            </w:r>
          </w:p>
        </w:tc>
        <w:tc>
          <w:tcPr>
            <w:tcW w:w="1984" w:type="dxa"/>
            <w:shd w:val="clear" w:color="auto" w:fill="B3D0D5"/>
          </w:tcPr>
          <w:p w14:paraId="1D703810" w14:textId="77777777" w:rsidR="0086370E" w:rsidRDefault="0086370E" w:rsidP="008F0AFE">
            <w:pPr>
              <w:pStyle w:val="Numbered"/>
              <w:numPr>
                <w:ilvl w:val="0"/>
                <w:numId w:val="0"/>
              </w:numPr>
              <w:spacing w:before="0" w:after="120"/>
              <w:rPr>
                <w:sz w:val="20"/>
                <w:szCs w:val="20"/>
              </w:rPr>
            </w:pPr>
            <w:r>
              <w:rPr>
                <w:sz w:val="20"/>
                <w:szCs w:val="20"/>
              </w:rPr>
              <w:t xml:space="preserve">No provision. </w:t>
            </w:r>
          </w:p>
          <w:p w14:paraId="3ADB3C83" w14:textId="47FC5CAF" w:rsidR="0086370E" w:rsidRPr="00C76BA0" w:rsidRDefault="0086370E" w:rsidP="0086370E">
            <w:pPr>
              <w:pStyle w:val="Numbered"/>
              <w:numPr>
                <w:ilvl w:val="0"/>
                <w:numId w:val="0"/>
              </w:numPr>
              <w:spacing w:before="0" w:after="120"/>
              <w:rPr>
                <w:sz w:val="20"/>
                <w:szCs w:val="20"/>
              </w:rPr>
            </w:pPr>
            <w:r>
              <w:rPr>
                <w:sz w:val="20"/>
                <w:szCs w:val="20"/>
              </w:rPr>
              <w:t>Rely on Good faith</w:t>
            </w:r>
            <w:r w:rsidR="00DD3D33">
              <w:rPr>
                <w:sz w:val="20"/>
                <w:szCs w:val="20"/>
              </w:rPr>
              <w:t xml:space="preserve"> and fair dealing</w:t>
            </w:r>
            <w:r w:rsidRPr="00C76BA0">
              <w:rPr>
                <w:sz w:val="20"/>
                <w:szCs w:val="20"/>
              </w:rPr>
              <w:t>.</w:t>
            </w:r>
          </w:p>
        </w:tc>
      </w:tr>
    </w:tbl>
    <w:p w14:paraId="77A02F2D" w14:textId="11191EBF" w:rsidR="00044E26" w:rsidRDefault="00D56A40" w:rsidP="009B1E27">
      <w:pPr>
        <w:pStyle w:val="Numbered"/>
      </w:pPr>
      <w:r>
        <w:rPr>
          <w:b/>
          <w:bCs/>
        </w:rPr>
        <w:t>Option</w:t>
      </w:r>
      <w:r w:rsidR="00436541">
        <w:rPr>
          <w:b/>
          <w:bCs/>
        </w:rPr>
        <w:t>s</w:t>
      </w:r>
      <w:r>
        <w:rPr>
          <w:b/>
          <w:bCs/>
        </w:rPr>
        <w:t xml:space="preserve"> 1</w:t>
      </w:r>
      <w:r w:rsidR="00DD3D33">
        <w:rPr>
          <w:b/>
          <w:bCs/>
        </w:rPr>
        <w:t xml:space="preserve"> and 3</w:t>
      </w:r>
      <w:r>
        <w:rPr>
          <w:b/>
          <w:bCs/>
        </w:rPr>
        <w:t xml:space="preserve"> </w:t>
      </w:r>
      <w:r>
        <w:t xml:space="preserve">do not provide any additional protection to fresh produce </w:t>
      </w:r>
      <w:r w:rsidR="00327C57">
        <w:t>suppliers</w:t>
      </w:r>
      <w:r>
        <w:t xml:space="preserve"> beyond the good faith obligation. </w:t>
      </w:r>
      <w:r w:rsidR="00060316">
        <w:t xml:space="preserve">They are efficient, and relatively durable. </w:t>
      </w:r>
      <w:r w:rsidR="00060316">
        <w:rPr>
          <w:b/>
          <w:bCs/>
        </w:rPr>
        <w:t xml:space="preserve">Option 3 </w:t>
      </w:r>
      <w:r w:rsidR="00060316">
        <w:t xml:space="preserve">is probably more effective than </w:t>
      </w:r>
      <w:r w:rsidR="00060316">
        <w:rPr>
          <w:b/>
          <w:bCs/>
        </w:rPr>
        <w:t xml:space="preserve">option 1 </w:t>
      </w:r>
      <w:r w:rsidR="00060316">
        <w:t xml:space="preserve">because of the stronger good faith and fair dealing provision. </w:t>
      </w:r>
    </w:p>
    <w:p w14:paraId="108895EF" w14:textId="6AFE12CD" w:rsidR="00060316" w:rsidRDefault="00D56A40" w:rsidP="00D373ED">
      <w:pPr>
        <w:pStyle w:val="Numbered"/>
      </w:pPr>
      <w:r>
        <w:t xml:space="preserve">By comparison, </w:t>
      </w:r>
      <w:r w:rsidRPr="00060316">
        <w:rPr>
          <w:b/>
          <w:bCs/>
        </w:rPr>
        <w:t>Option 2</w:t>
      </w:r>
      <w:r w:rsidR="00DD3D33" w:rsidRPr="00060316">
        <w:rPr>
          <w:b/>
          <w:bCs/>
        </w:rPr>
        <w:t xml:space="preserve"> </w:t>
      </w:r>
      <w:r w:rsidR="00060316">
        <w:t xml:space="preserve">is most effective but also least efficient. It provides some </w:t>
      </w:r>
      <w:r>
        <w:t xml:space="preserve">protections for </w:t>
      </w:r>
      <w:r w:rsidR="00060316">
        <w:t xml:space="preserve">fresh produce </w:t>
      </w:r>
      <w:r>
        <w:t>supplier</w:t>
      </w:r>
      <w:r w:rsidR="00060316">
        <w:t xml:space="preserve">s (including improved transparency around a designated retailer’s fresh produce standards and quality specifications) that may, or may not be required. While it </w:t>
      </w:r>
      <w:r w:rsidRPr="00D56A40">
        <w:t xml:space="preserve">does not impose </w:t>
      </w:r>
      <w:r>
        <w:t xml:space="preserve">onerous timeframes on retailers </w:t>
      </w:r>
      <w:r w:rsidR="00060316">
        <w:t xml:space="preserve">it has the risks of adding inefficiency and even creating the risk of regulating timeframes that become an issue or impediment in the future. </w:t>
      </w:r>
    </w:p>
    <w:p w14:paraId="13BE2A34" w14:textId="25DFC64F" w:rsidR="00870AC1" w:rsidRDefault="00042119" w:rsidP="00871288">
      <w:pPr>
        <w:pStyle w:val="Heading2"/>
        <w:tabs>
          <w:tab w:val="left" w:pos="567"/>
        </w:tabs>
      </w:pPr>
      <w:bookmarkStart w:id="157" w:name="_Toc104358665"/>
      <w:bookmarkStart w:id="158" w:name="_Toc107919645"/>
      <w:r>
        <w:t>6.4</w:t>
      </w:r>
      <w:r w:rsidR="00871288">
        <w:tab/>
      </w:r>
      <w:r w:rsidR="00870AC1">
        <w:t xml:space="preserve">Obligations in relation to </w:t>
      </w:r>
      <w:r w:rsidR="00A7726A">
        <w:t xml:space="preserve">product </w:t>
      </w:r>
      <w:r w:rsidR="00870AC1">
        <w:t>ranging, shelf allocation, and delisting</w:t>
      </w:r>
      <w:bookmarkEnd w:id="156"/>
      <w:bookmarkEnd w:id="157"/>
      <w:bookmarkEnd w:id="158"/>
    </w:p>
    <w:p w14:paraId="1D61A3F1" w14:textId="6762CCD4" w:rsidR="00C921FE" w:rsidRDefault="00251E13" w:rsidP="00870AC1">
      <w:pPr>
        <w:pStyle w:val="Numbered"/>
      </w:pPr>
      <w:r>
        <w:t xml:space="preserve">This section discusses </w:t>
      </w:r>
      <w:r w:rsidR="00C921FE">
        <w:t xml:space="preserve">conduct in relation to product ranging, </w:t>
      </w:r>
      <w:r w:rsidR="000A1089">
        <w:t xml:space="preserve">shelf allocation, </w:t>
      </w:r>
      <w:r w:rsidR="00F00C42">
        <w:t xml:space="preserve">range </w:t>
      </w:r>
      <w:r w:rsidR="000A1089">
        <w:t xml:space="preserve">reviews, </w:t>
      </w:r>
      <w:r w:rsidR="00C921FE">
        <w:t>and delisting</w:t>
      </w:r>
      <w:r>
        <w:t>:</w:t>
      </w:r>
    </w:p>
    <w:p w14:paraId="36B403EE" w14:textId="047E6CE4" w:rsidR="000B6E61" w:rsidRDefault="00C921FE" w:rsidP="00C921FE">
      <w:pPr>
        <w:pStyle w:val="Numbered"/>
        <w:numPr>
          <w:ilvl w:val="1"/>
          <w:numId w:val="1"/>
        </w:numPr>
      </w:pPr>
      <w:r w:rsidRPr="00251E13">
        <w:rPr>
          <w:i/>
          <w:iCs/>
        </w:rPr>
        <w:t>Product ranging</w:t>
      </w:r>
      <w:r w:rsidR="000B6E61">
        <w:t xml:space="preserve"> </w:t>
      </w:r>
      <w:r w:rsidR="00A7726A">
        <w:t>refers to</w:t>
      </w:r>
      <w:r>
        <w:t xml:space="preserve"> decisions made by </w:t>
      </w:r>
      <w:r w:rsidR="00060316">
        <w:t xml:space="preserve">designated </w:t>
      </w:r>
      <w:r>
        <w:t xml:space="preserve">retailers about which grocery products to </w:t>
      </w:r>
      <w:r w:rsidR="00727979">
        <w:t>stock</w:t>
      </w:r>
      <w:r>
        <w:t xml:space="preserve">. Different retailers will have different </w:t>
      </w:r>
      <w:r w:rsidR="00310A1D">
        <w:t xml:space="preserve">approaches to product ranging </w:t>
      </w:r>
      <w:r w:rsidR="00C11F07">
        <w:t xml:space="preserve">to provide the best competitive offering to consumers. </w:t>
      </w:r>
    </w:p>
    <w:p w14:paraId="614BC709" w14:textId="57C1605D" w:rsidR="000A1089" w:rsidRDefault="000A1089" w:rsidP="000A1089">
      <w:pPr>
        <w:pStyle w:val="Numbered"/>
        <w:numPr>
          <w:ilvl w:val="1"/>
          <w:numId w:val="1"/>
        </w:numPr>
      </w:pPr>
      <w:r w:rsidRPr="00251E13">
        <w:rPr>
          <w:i/>
          <w:iCs/>
        </w:rPr>
        <w:t>Shelf allocation</w:t>
      </w:r>
      <w:r>
        <w:t xml:space="preserve"> is specifically about where stock is placed on the shelves in a retail store. The position of a product affects turnover because some positions on the shelf are more appealing to consumers. </w:t>
      </w:r>
    </w:p>
    <w:p w14:paraId="3CF33CBA" w14:textId="10B26609" w:rsidR="00C921FE" w:rsidRDefault="000B6E61" w:rsidP="00C921FE">
      <w:pPr>
        <w:pStyle w:val="Numbered"/>
        <w:numPr>
          <w:ilvl w:val="1"/>
          <w:numId w:val="1"/>
        </w:numPr>
      </w:pPr>
      <w:r w:rsidRPr="00251E13">
        <w:rPr>
          <w:i/>
          <w:iCs/>
        </w:rPr>
        <w:t>A range or category review</w:t>
      </w:r>
      <w:r>
        <w:t xml:space="preserve"> is a review of the products a </w:t>
      </w:r>
      <w:r w:rsidR="00060316">
        <w:t xml:space="preserve">designated </w:t>
      </w:r>
      <w:r>
        <w:t xml:space="preserve">retailer </w:t>
      </w:r>
      <w:r w:rsidR="00727979">
        <w:t xml:space="preserve">stocks </w:t>
      </w:r>
      <w:r>
        <w:t>in various produc</w:t>
      </w:r>
      <w:r w:rsidR="00372487">
        <w:t>t</w:t>
      </w:r>
      <w:r>
        <w:t xml:space="preserve"> categories to evaluate how successful </w:t>
      </w:r>
      <w:r w:rsidR="00727979">
        <w:t>the</w:t>
      </w:r>
      <w:r w:rsidR="00C11F07">
        <w:t>y</w:t>
      </w:r>
      <w:r w:rsidR="00727979">
        <w:t xml:space="preserve"> </w:t>
      </w:r>
      <w:r>
        <w:t xml:space="preserve">are. </w:t>
      </w:r>
      <w:r w:rsidR="00743B8E">
        <w:t>This consultation paper</w:t>
      </w:r>
      <w:r>
        <w:t xml:space="preserve"> refer</w:t>
      </w:r>
      <w:r w:rsidR="00372487">
        <w:t>s</w:t>
      </w:r>
      <w:r w:rsidR="00743B8E">
        <w:t xml:space="preserve"> </w:t>
      </w:r>
      <w:r>
        <w:t xml:space="preserve">to ‘range reviews’, but </w:t>
      </w:r>
      <w:r w:rsidR="00FC7C9C">
        <w:t xml:space="preserve">means any similar review undertaken by the </w:t>
      </w:r>
      <w:r w:rsidR="00060316">
        <w:t xml:space="preserve">designated </w:t>
      </w:r>
      <w:r w:rsidR="00FC7C9C">
        <w:t>retailer.</w:t>
      </w:r>
    </w:p>
    <w:p w14:paraId="6BA48BE2" w14:textId="27012889" w:rsidR="00A652E9" w:rsidRDefault="00A652E9" w:rsidP="00C921FE">
      <w:pPr>
        <w:pStyle w:val="Numbered"/>
        <w:numPr>
          <w:ilvl w:val="1"/>
          <w:numId w:val="1"/>
        </w:numPr>
      </w:pPr>
      <w:r w:rsidRPr="00251E13">
        <w:rPr>
          <w:i/>
          <w:iCs/>
        </w:rPr>
        <w:t>Delisting</w:t>
      </w:r>
      <w:r>
        <w:t xml:space="preserve"> is the decision by a </w:t>
      </w:r>
      <w:r w:rsidR="00060316">
        <w:t xml:space="preserve">designated </w:t>
      </w:r>
      <w:r>
        <w:t xml:space="preserve">retailer to stop stocking a certain product for sale in their stores. </w:t>
      </w:r>
    </w:p>
    <w:p w14:paraId="74D46BE1" w14:textId="727CCB43" w:rsidR="00C11F07" w:rsidRPr="00870AC1" w:rsidRDefault="00C11F07" w:rsidP="00C11F07">
      <w:pPr>
        <w:pStyle w:val="Numbered"/>
      </w:pPr>
      <w:r>
        <w:t xml:space="preserve">Suppliers compete against each other for the major grocery retailers’ shelf space, and any competition should be on a level playing field. There have been concerns that some suppliers – </w:t>
      </w:r>
      <w:r>
        <w:lastRenderedPageBreak/>
        <w:t xml:space="preserve">particularly retailer-owned ‘private labels’ (eg Pams, Pams Finest, Value, Countdown, Macro, and Essential) – receive preferential treatment. </w:t>
      </w:r>
    </w:p>
    <w:p w14:paraId="7C9591AC" w14:textId="49A2E68F" w:rsidR="00AA2F51" w:rsidRDefault="00AA2F51" w:rsidP="00AA2F51">
      <w:pPr>
        <w:pStyle w:val="Numbered"/>
      </w:pPr>
      <w:r>
        <w:t xml:space="preserve">A Code could provide suppliers with transparency by ensuring that each </w:t>
      </w:r>
      <w:r w:rsidR="00060316">
        <w:t xml:space="preserve">designated </w:t>
      </w:r>
      <w:r>
        <w:t xml:space="preserve">retailer has </w:t>
      </w:r>
      <w:r w:rsidR="00060316">
        <w:t>its</w:t>
      </w:r>
      <w:r>
        <w:t xml:space="preserve"> own policies/practices (</w:t>
      </w:r>
      <w:r w:rsidR="00D6688E">
        <w:t>eg</w:t>
      </w:r>
      <w:r>
        <w:t xml:space="preserve"> product ranging principles and shelf space allocation principles) that </w:t>
      </w:r>
      <w:r w:rsidR="005D6EA0">
        <w:t>are</w:t>
      </w:r>
      <w:r>
        <w:t xml:space="preserve"> share</w:t>
      </w:r>
      <w:r w:rsidR="005D6EA0">
        <w:t>d</w:t>
      </w:r>
      <w:r>
        <w:t xml:space="preserve"> openly with suppliers and </w:t>
      </w:r>
      <w:r w:rsidR="00060316">
        <w:t>adhere</w:t>
      </w:r>
      <w:r w:rsidR="005D6EA0">
        <w:t>d</w:t>
      </w:r>
      <w:r w:rsidR="00060316">
        <w:t xml:space="preserve"> to in </w:t>
      </w:r>
      <w:r>
        <w:t xml:space="preserve">dealings with </w:t>
      </w:r>
      <w:r w:rsidR="00060316">
        <w:t xml:space="preserve">all </w:t>
      </w:r>
      <w:r>
        <w:t>suppliers.</w:t>
      </w:r>
      <w:r w:rsidR="005D6EA0">
        <w:rPr>
          <w:rStyle w:val="FootnoteReference"/>
        </w:rPr>
        <w:footnoteReference w:id="26"/>
      </w:r>
      <w:r>
        <w:t xml:space="preserve"> </w:t>
      </w:r>
    </w:p>
    <w:p w14:paraId="41C61269" w14:textId="5F1F282D" w:rsidR="006D3AC1" w:rsidRPr="006D3AC1" w:rsidRDefault="006D3AC1" w:rsidP="006D3AC1">
      <w:pPr>
        <w:pStyle w:val="Numbered"/>
        <w:numPr>
          <w:ilvl w:val="0"/>
          <w:numId w:val="0"/>
        </w:numPr>
        <w:rPr>
          <w:b/>
          <w:bCs/>
        </w:rPr>
      </w:pPr>
      <w:bookmarkStart w:id="159" w:name="_Hlk102993710"/>
      <w:r>
        <w:rPr>
          <w:b/>
          <w:bCs/>
        </w:rPr>
        <w:t>Product ranging, shelf space allocation, and range reviews</w:t>
      </w:r>
    </w:p>
    <w:bookmarkEnd w:id="159"/>
    <w:p w14:paraId="19F1EEA4" w14:textId="1575021C" w:rsidR="00AA2F51" w:rsidRPr="00870AC1" w:rsidRDefault="00AA2F51" w:rsidP="00AA2F51">
      <w:pPr>
        <w:pStyle w:val="Numbered"/>
      </w:pPr>
      <w:r>
        <w:t xml:space="preserve">The </w:t>
      </w:r>
      <w:r w:rsidRPr="00870AC1">
        <w:t xml:space="preserve">Commission recommended </w:t>
      </w:r>
      <w:r w:rsidR="00743B8E">
        <w:t>non-</w:t>
      </w:r>
      <w:r>
        <w:t xml:space="preserve">discrimination on product ranging and shelf allocation </w:t>
      </w:r>
      <w:r w:rsidR="00743B8E">
        <w:t>to prevent designated retailers from using</w:t>
      </w:r>
      <w:r>
        <w:t xml:space="preserve"> different approaches </w:t>
      </w:r>
      <w:r w:rsidR="00743B8E">
        <w:t xml:space="preserve">for their private label products and other </w:t>
      </w:r>
      <w:r>
        <w:t>suppliers.</w:t>
      </w:r>
    </w:p>
    <w:p w14:paraId="23F2F669" w14:textId="21A89F0A" w:rsidR="00870AC1" w:rsidRDefault="00870AC1" w:rsidP="00870AC1">
      <w:pPr>
        <w:pStyle w:val="Numbered"/>
      </w:pPr>
      <w:r w:rsidRPr="00870AC1">
        <w:t xml:space="preserve">The Australian Code </w:t>
      </w:r>
      <w:r w:rsidR="00743B8E">
        <w:t>requires</w:t>
      </w:r>
      <w:r w:rsidR="00AA2F51">
        <w:t xml:space="preserve"> retailers </w:t>
      </w:r>
      <w:r w:rsidR="00743B8E">
        <w:t xml:space="preserve">to </w:t>
      </w:r>
      <w:r w:rsidR="00AA2F51">
        <w:t xml:space="preserve">have </w:t>
      </w:r>
      <w:r w:rsidR="005445D7">
        <w:t xml:space="preserve">product ranging and shelf space allocation principles and </w:t>
      </w:r>
      <w:r w:rsidR="00743B8E">
        <w:t xml:space="preserve">to </w:t>
      </w:r>
      <w:r w:rsidR="005445D7">
        <w:t>apply these without discrimination to all suppliers (</w:t>
      </w:r>
      <w:r w:rsidR="00D6688E">
        <w:t>see</w:t>
      </w:r>
      <w:r w:rsidR="005445D7">
        <w:t xml:space="preserve"> section 26</w:t>
      </w:r>
      <w:r w:rsidR="00D6688E">
        <w:t xml:space="preserve"> of the </w:t>
      </w:r>
      <w:r w:rsidR="00743B8E">
        <w:t xml:space="preserve">Australian </w:t>
      </w:r>
      <w:r w:rsidR="00D6688E">
        <w:t>Code</w:t>
      </w:r>
      <w:r w:rsidR="005445D7">
        <w:t>).</w:t>
      </w:r>
      <w:r w:rsidR="005445D7" w:rsidRPr="005445D7">
        <w:t xml:space="preserve"> </w:t>
      </w:r>
      <w:r w:rsidR="005445D7">
        <w:t>The UK Code has no provisions on this matter and relies solely on the fair dealing obligation.</w:t>
      </w:r>
    </w:p>
    <w:p w14:paraId="08EC43F7" w14:textId="2992E0EA" w:rsidR="006D3AC1" w:rsidRPr="002615F3" w:rsidRDefault="006D3AC1" w:rsidP="006D3AC1">
      <w:pPr>
        <w:pStyle w:val="Numbered"/>
        <w:numPr>
          <w:ilvl w:val="0"/>
          <w:numId w:val="0"/>
        </w:numPr>
        <w:rPr>
          <w:b/>
          <w:bCs/>
          <w:i/>
          <w:iCs/>
        </w:rPr>
      </w:pPr>
      <w:r>
        <w:rPr>
          <w:b/>
          <w:bCs/>
        </w:rPr>
        <w:t>Delisting</w:t>
      </w:r>
    </w:p>
    <w:p w14:paraId="37442EB5" w14:textId="17BA133C" w:rsidR="004B6857" w:rsidRDefault="004B6857" w:rsidP="00152406">
      <w:pPr>
        <w:pStyle w:val="Numbered"/>
      </w:pPr>
      <w:r>
        <w:t>Delisting by a major grocery retailer</w:t>
      </w:r>
      <w:r w:rsidR="00743B8E">
        <w:t xml:space="preserve"> in the New Zealand market</w:t>
      </w:r>
      <w:r>
        <w:t xml:space="preserve"> is a critical issue for a supplier that can threaten the viability of their </w:t>
      </w:r>
      <w:r w:rsidR="00375E15">
        <w:t xml:space="preserve">business by removing their ability to reach the consumers that shop at </w:t>
      </w:r>
      <w:r w:rsidR="0051694A">
        <w:t xml:space="preserve">the </w:t>
      </w:r>
      <w:r w:rsidR="00375E15">
        <w:t>major grocery retailers’ stores.</w:t>
      </w:r>
      <w:r>
        <w:t xml:space="preserve"> </w:t>
      </w:r>
    </w:p>
    <w:p w14:paraId="718BF9D8" w14:textId="0E8D3E1A" w:rsidR="004B6857" w:rsidRDefault="004B6857" w:rsidP="004B6857">
      <w:pPr>
        <w:pStyle w:val="Numbered"/>
      </w:pPr>
      <w:r>
        <w:t xml:space="preserve">However, delisting is also a commercial reality. Retailers have limited physical shelf space </w:t>
      </w:r>
      <w:r w:rsidR="005445D7">
        <w:t>so b</w:t>
      </w:r>
      <w:r>
        <w:t xml:space="preserve">ringing new products to market sometimes </w:t>
      </w:r>
      <w:r w:rsidR="00375E15">
        <w:t xml:space="preserve">involves removing other products to create the necessary shelf space. </w:t>
      </w:r>
    </w:p>
    <w:p w14:paraId="1A452952" w14:textId="1C742C30" w:rsidR="00AB0576" w:rsidRDefault="00AB0576" w:rsidP="00AB0576">
      <w:pPr>
        <w:pStyle w:val="Numbered"/>
      </w:pPr>
      <w:r>
        <w:t>A</w:t>
      </w:r>
      <w:r w:rsidRPr="005D4DA8">
        <w:t xml:space="preserve">ny provisions </w:t>
      </w:r>
      <w:r>
        <w:t xml:space="preserve">in the Code need to provide the right balance of supporting suppliers </w:t>
      </w:r>
      <w:r w:rsidR="00743B8E">
        <w:t xml:space="preserve">while not </w:t>
      </w:r>
      <w:r w:rsidR="00743B8E" w:rsidRPr="005D4DA8">
        <w:t>prevent</w:t>
      </w:r>
      <w:r w:rsidR="00743B8E">
        <w:t>ing</w:t>
      </w:r>
      <w:r w:rsidR="00743B8E" w:rsidRPr="005D4DA8">
        <w:t xml:space="preserve"> a </w:t>
      </w:r>
      <w:r w:rsidR="00743B8E">
        <w:t xml:space="preserve">designated </w:t>
      </w:r>
      <w:r w:rsidR="00743B8E" w:rsidRPr="005D4DA8">
        <w:t xml:space="preserve">retailer from </w:t>
      </w:r>
      <w:r w:rsidR="00743B8E">
        <w:t>meeting consumer demands, including by delisting products with the right justification</w:t>
      </w:r>
      <w:r>
        <w:t xml:space="preserve">. </w:t>
      </w:r>
      <w:r w:rsidR="008C2FE5">
        <w:t xml:space="preserve">The best way to achieve this balance is to focus any requirements of the Code on </w:t>
      </w:r>
      <w:r w:rsidR="005D6EA0">
        <w:t>good practice processes and non-discrimination between different suppliers</w:t>
      </w:r>
      <w:r w:rsidR="008C2FE5">
        <w:t>.</w:t>
      </w:r>
    </w:p>
    <w:p w14:paraId="7D7736D2" w14:textId="5458D694" w:rsidR="005D6EA0" w:rsidRDefault="005445D7" w:rsidP="00914566">
      <w:pPr>
        <w:pStyle w:val="Numbered"/>
      </w:pPr>
      <w:r>
        <w:t>The Commission recommended addressing both the circumstances in which delisting may occur and the process that should be followed</w:t>
      </w:r>
      <w:r w:rsidR="0051694A">
        <w:t xml:space="preserve"> when delisting</w:t>
      </w:r>
      <w:r>
        <w:t>. The UK and Australian Codes both cover these areas.</w:t>
      </w:r>
    </w:p>
    <w:p w14:paraId="6F2CC561" w14:textId="239CFD5F" w:rsidR="00F00C42" w:rsidRDefault="00F00C42">
      <w:r>
        <w:br w:type="page"/>
      </w:r>
    </w:p>
    <w:tbl>
      <w:tblPr>
        <w:tblStyle w:val="TableGrid"/>
        <w:tblW w:w="9214"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Look w:val="04A0" w:firstRow="1" w:lastRow="0" w:firstColumn="1" w:lastColumn="0" w:noHBand="0" w:noVBand="1"/>
      </w:tblPr>
      <w:tblGrid>
        <w:gridCol w:w="3829"/>
        <w:gridCol w:w="5385"/>
      </w:tblGrid>
      <w:tr w:rsidR="00204716" w14:paraId="01157334" w14:textId="77777777" w:rsidTr="008254A7">
        <w:trPr>
          <w:cantSplit/>
          <w:trHeight w:val="268"/>
        </w:trPr>
        <w:tc>
          <w:tcPr>
            <w:tcW w:w="2078" w:type="pct"/>
            <w:shd w:val="clear" w:color="auto" w:fill="D9D9D9" w:themeFill="background1" w:themeFillShade="D9"/>
          </w:tcPr>
          <w:p w14:paraId="5BD24A74" w14:textId="25680A05" w:rsidR="00204716" w:rsidRDefault="00204716" w:rsidP="00E25F3D">
            <w:pPr>
              <w:jc w:val="center"/>
              <w:rPr>
                <w:b/>
                <w:bCs/>
                <w:sz w:val="20"/>
                <w:szCs w:val="20"/>
              </w:rPr>
            </w:pPr>
            <w:r w:rsidRPr="00A52685">
              <w:rPr>
                <w:b/>
                <w:bCs/>
                <w:sz w:val="20"/>
                <w:szCs w:val="20"/>
              </w:rPr>
              <w:lastRenderedPageBreak/>
              <w:t>UK</w:t>
            </w:r>
            <w:r>
              <w:rPr>
                <w:b/>
                <w:bCs/>
                <w:sz w:val="20"/>
                <w:szCs w:val="20"/>
              </w:rPr>
              <w:t xml:space="preserve"> Code</w:t>
            </w:r>
            <w:r w:rsidR="008C2FE5">
              <w:rPr>
                <w:b/>
                <w:bCs/>
                <w:sz w:val="20"/>
                <w:szCs w:val="20"/>
              </w:rPr>
              <w:t xml:space="preserve"> (article 16)</w:t>
            </w:r>
          </w:p>
        </w:tc>
        <w:tc>
          <w:tcPr>
            <w:tcW w:w="2922" w:type="pct"/>
            <w:shd w:val="clear" w:color="auto" w:fill="D9D9D9" w:themeFill="background1" w:themeFillShade="D9"/>
          </w:tcPr>
          <w:p w14:paraId="2D7F20AE" w14:textId="788C6B16" w:rsidR="00204716" w:rsidRDefault="00204716" w:rsidP="00E25F3D">
            <w:pPr>
              <w:jc w:val="center"/>
              <w:rPr>
                <w:b/>
                <w:bCs/>
                <w:sz w:val="20"/>
                <w:szCs w:val="20"/>
              </w:rPr>
            </w:pPr>
            <w:r>
              <w:rPr>
                <w:b/>
                <w:bCs/>
                <w:sz w:val="20"/>
                <w:szCs w:val="20"/>
              </w:rPr>
              <w:t>Australian Code</w:t>
            </w:r>
            <w:r w:rsidR="008C2FE5">
              <w:rPr>
                <w:b/>
                <w:bCs/>
                <w:sz w:val="20"/>
                <w:szCs w:val="20"/>
              </w:rPr>
              <w:t xml:space="preserve"> (section </w:t>
            </w:r>
            <w:r w:rsidR="00E21379">
              <w:rPr>
                <w:b/>
                <w:bCs/>
                <w:sz w:val="20"/>
                <w:szCs w:val="20"/>
              </w:rPr>
              <w:t>19</w:t>
            </w:r>
          </w:p>
        </w:tc>
      </w:tr>
      <w:tr w:rsidR="00204716" w14:paraId="0634027E" w14:textId="77777777" w:rsidTr="008254A7">
        <w:trPr>
          <w:cantSplit/>
          <w:trHeight w:val="727"/>
        </w:trPr>
        <w:tc>
          <w:tcPr>
            <w:tcW w:w="2078" w:type="pct"/>
            <w:shd w:val="clear" w:color="auto" w:fill="D9D9D9" w:themeFill="background1" w:themeFillShade="D9"/>
          </w:tcPr>
          <w:p w14:paraId="2EF14A03" w14:textId="646F6CA8" w:rsidR="00204716" w:rsidRDefault="00204716" w:rsidP="008F0AFE">
            <w:pPr>
              <w:spacing w:after="120"/>
              <w:rPr>
                <w:b/>
                <w:bCs/>
                <w:sz w:val="20"/>
                <w:szCs w:val="20"/>
              </w:rPr>
            </w:pPr>
            <w:r>
              <w:rPr>
                <w:b/>
                <w:bCs/>
                <w:sz w:val="20"/>
                <w:szCs w:val="20"/>
              </w:rPr>
              <w:t>Circumstances in which delisting may occur</w:t>
            </w:r>
          </w:p>
          <w:p w14:paraId="17A0F14E" w14:textId="77777777" w:rsidR="00204716" w:rsidRDefault="00204716" w:rsidP="007D2B74">
            <w:pPr>
              <w:spacing w:after="120"/>
              <w:rPr>
                <w:sz w:val="20"/>
                <w:szCs w:val="20"/>
              </w:rPr>
            </w:pPr>
            <w:r w:rsidRPr="00C63125">
              <w:rPr>
                <w:sz w:val="20"/>
                <w:szCs w:val="20"/>
              </w:rPr>
              <w:t xml:space="preserve">A retailer may only delist a supplier for genuine commercial reasons. </w:t>
            </w:r>
          </w:p>
          <w:p w14:paraId="79B130CD" w14:textId="7D9D157B" w:rsidR="008C2FE5" w:rsidRPr="00A87E5A" w:rsidRDefault="00E21379" w:rsidP="007D2B74">
            <w:pPr>
              <w:spacing w:after="120"/>
              <w:rPr>
                <w:sz w:val="20"/>
                <w:szCs w:val="20"/>
              </w:rPr>
            </w:pPr>
            <w:r>
              <w:rPr>
                <w:sz w:val="20"/>
                <w:szCs w:val="20"/>
              </w:rPr>
              <w:t>Identifies some things that are not genuine commercial reasons (eg a supplier exercising its rights).</w:t>
            </w:r>
          </w:p>
        </w:tc>
        <w:tc>
          <w:tcPr>
            <w:tcW w:w="2922" w:type="pct"/>
            <w:shd w:val="clear" w:color="auto" w:fill="D9D9D9" w:themeFill="background1" w:themeFillShade="D9"/>
          </w:tcPr>
          <w:p w14:paraId="1DAA1A67" w14:textId="11C17B5A" w:rsidR="00204716" w:rsidRDefault="00204716" w:rsidP="007D2B74">
            <w:pPr>
              <w:spacing w:after="120"/>
              <w:rPr>
                <w:b/>
                <w:bCs/>
                <w:sz w:val="20"/>
                <w:szCs w:val="20"/>
              </w:rPr>
            </w:pPr>
            <w:r>
              <w:rPr>
                <w:b/>
                <w:bCs/>
                <w:sz w:val="20"/>
                <w:szCs w:val="20"/>
              </w:rPr>
              <w:t>Circumstances in which delisting may occur</w:t>
            </w:r>
          </w:p>
          <w:p w14:paraId="1F7F6B1A" w14:textId="77777777" w:rsidR="00204716" w:rsidRDefault="00204716" w:rsidP="007D2B74">
            <w:pPr>
              <w:spacing w:after="120"/>
              <w:rPr>
                <w:sz w:val="20"/>
                <w:szCs w:val="20"/>
              </w:rPr>
            </w:pPr>
            <w:r w:rsidRPr="00C63125">
              <w:rPr>
                <w:sz w:val="20"/>
                <w:szCs w:val="20"/>
              </w:rPr>
              <w:t xml:space="preserve">The retailer may only delist </w:t>
            </w:r>
            <w:r w:rsidR="00C0291C">
              <w:rPr>
                <w:sz w:val="20"/>
                <w:szCs w:val="20"/>
              </w:rPr>
              <w:t>in accordance with t</w:t>
            </w:r>
            <w:r w:rsidRPr="00533BE2">
              <w:rPr>
                <w:sz w:val="20"/>
                <w:szCs w:val="20"/>
              </w:rPr>
              <w:t>he supply agreement</w:t>
            </w:r>
            <w:r w:rsidR="00C0291C">
              <w:rPr>
                <w:sz w:val="20"/>
                <w:szCs w:val="20"/>
              </w:rPr>
              <w:t xml:space="preserve"> </w:t>
            </w:r>
            <w:r w:rsidRPr="00533BE2">
              <w:rPr>
                <w:sz w:val="20"/>
                <w:szCs w:val="20"/>
              </w:rPr>
              <w:t>and</w:t>
            </w:r>
            <w:r w:rsidR="00C0291C">
              <w:rPr>
                <w:sz w:val="20"/>
                <w:szCs w:val="20"/>
              </w:rPr>
              <w:t xml:space="preserve"> </w:t>
            </w:r>
            <w:r w:rsidRPr="00533BE2">
              <w:rPr>
                <w:sz w:val="20"/>
                <w:szCs w:val="20"/>
              </w:rPr>
              <w:t>for genuine commercial reasons.</w:t>
            </w:r>
          </w:p>
          <w:p w14:paraId="17347966" w14:textId="14081E53" w:rsidR="00E21379" w:rsidRDefault="00E21379" w:rsidP="007D2B74">
            <w:pPr>
              <w:rPr>
                <w:sz w:val="20"/>
                <w:szCs w:val="20"/>
              </w:rPr>
            </w:pPr>
            <w:r>
              <w:rPr>
                <w:sz w:val="20"/>
                <w:szCs w:val="20"/>
              </w:rPr>
              <w:t xml:space="preserve">Genuine commercial reasons are defined as including (but not limited to): </w:t>
            </w:r>
          </w:p>
          <w:p w14:paraId="44C45A2A" w14:textId="77777777" w:rsidR="00E21379" w:rsidRDefault="00E21379" w:rsidP="003F2198">
            <w:pPr>
              <w:pStyle w:val="ListParagraph"/>
              <w:numPr>
                <w:ilvl w:val="0"/>
                <w:numId w:val="16"/>
              </w:numPr>
              <w:spacing w:after="120" w:line="240" w:lineRule="auto"/>
              <w:ind w:left="456" w:hanging="283"/>
              <w:rPr>
                <w:sz w:val="20"/>
                <w:szCs w:val="20"/>
              </w:rPr>
            </w:pPr>
            <w:r>
              <w:rPr>
                <w:sz w:val="20"/>
                <w:szCs w:val="20"/>
              </w:rPr>
              <w:t>Failure to meet agreed quality or quantity requirements</w:t>
            </w:r>
          </w:p>
          <w:p w14:paraId="7450B707" w14:textId="77777777" w:rsidR="00E21379" w:rsidRDefault="00E21379" w:rsidP="003F2198">
            <w:pPr>
              <w:pStyle w:val="ListParagraph"/>
              <w:numPr>
                <w:ilvl w:val="0"/>
                <w:numId w:val="16"/>
              </w:numPr>
              <w:spacing w:after="120" w:line="240" w:lineRule="auto"/>
              <w:ind w:left="456" w:hanging="283"/>
              <w:rPr>
                <w:sz w:val="20"/>
                <w:szCs w:val="20"/>
              </w:rPr>
            </w:pPr>
            <w:r>
              <w:rPr>
                <w:sz w:val="20"/>
                <w:szCs w:val="20"/>
              </w:rPr>
              <w:t>Failure to meet the retailer’s commercial sales or profitability targets as agreed with the supplier</w:t>
            </w:r>
          </w:p>
          <w:p w14:paraId="63B270AF" w14:textId="77777777" w:rsidR="00E21379" w:rsidRDefault="00E21379" w:rsidP="003F2198">
            <w:pPr>
              <w:pStyle w:val="ListParagraph"/>
              <w:numPr>
                <w:ilvl w:val="0"/>
                <w:numId w:val="16"/>
              </w:numPr>
              <w:spacing w:after="120" w:line="240" w:lineRule="auto"/>
              <w:ind w:left="456" w:hanging="283"/>
              <w:rPr>
                <w:sz w:val="20"/>
                <w:szCs w:val="20"/>
              </w:rPr>
            </w:pPr>
            <w:r>
              <w:rPr>
                <w:sz w:val="20"/>
                <w:szCs w:val="20"/>
              </w:rPr>
              <w:t xml:space="preserve">Persistent failure to meet the retailer’s delivery requirements. </w:t>
            </w:r>
          </w:p>
          <w:p w14:paraId="48FF5385" w14:textId="01C4D7F5" w:rsidR="00365D76" w:rsidRPr="000B7798" w:rsidRDefault="00365D76" w:rsidP="007D2B74">
            <w:pPr>
              <w:spacing w:after="120"/>
              <w:rPr>
                <w:sz w:val="20"/>
                <w:szCs w:val="20"/>
              </w:rPr>
            </w:pPr>
            <w:r>
              <w:rPr>
                <w:sz w:val="20"/>
                <w:szCs w:val="20"/>
              </w:rPr>
              <w:t>D</w:t>
            </w:r>
            <w:r w:rsidRPr="00365D76">
              <w:rPr>
                <w:sz w:val="20"/>
                <w:szCs w:val="20"/>
              </w:rPr>
              <w:t>elisting as a punishment for a complaint, concern or dispute raised by a supplier is not a genuine commercial reason</w:t>
            </w:r>
            <w:r>
              <w:rPr>
                <w:sz w:val="20"/>
                <w:szCs w:val="20"/>
              </w:rPr>
              <w:t>.</w:t>
            </w:r>
          </w:p>
        </w:tc>
      </w:tr>
      <w:tr w:rsidR="00204716" w14:paraId="5E3D0A0F" w14:textId="77777777" w:rsidTr="008254A7">
        <w:trPr>
          <w:cantSplit/>
          <w:trHeight w:val="1134"/>
        </w:trPr>
        <w:tc>
          <w:tcPr>
            <w:tcW w:w="2078" w:type="pct"/>
            <w:shd w:val="clear" w:color="auto" w:fill="D9D9D9" w:themeFill="background1" w:themeFillShade="D9"/>
          </w:tcPr>
          <w:p w14:paraId="04E46E37" w14:textId="412D95A2" w:rsidR="00204716" w:rsidRDefault="00204716" w:rsidP="007D2B74">
            <w:pPr>
              <w:spacing w:after="120"/>
              <w:rPr>
                <w:sz w:val="20"/>
                <w:szCs w:val="20"/>
              </w:rPr>
            </w:pPr>
            <w:r>
              <w:rPr>
                <w:b/>
                <w:bCs/>
                <w:sz w:val="20"/>
                <w:szCs w:val="20"/>
              </w:rPr>
              <w:t>Process that should be followed</w:t>
            </w:r>
          </w:p>
          <w:p w14:paraId="4F2F038C" w14:textId="77777777" w:rsidR="00C0291C" w:rsidRDefault="00204716" w:rsidP="007D2B74">
            <w:pPr>
              <w:spacing w:after="120"/>
              <w:rPr>
                <w:sz w:val="20"/>
                <w:szCs w:val="20"/>
              </w:rPr>
            </w:pPr>
            <w:r w:rsidRPr="0079236D">
              <w:rPr>
                <w:sz w:val="20"/>
                <w:szCs w:val="20"/>
              </w:rPr>
              <w:t xml:space="preserve">Prior to </w:t>
            </w:r>
            <w:r>
              <w:rPr>
                <w:sz w:val="20"/>
                <w:szCs w:val="20"/>
              </w:rPr>
              <w:t>de</w:t>
            </w:r>
            <w:r w:rsidRPr="0079236D">
              <w:rPr>
                <w:sz w:val="20"/>
                <w:szCs w:val="20"/>
              </w:rPr>
              <w:t xml:space="preserve">listing, a </w:t>
            </w:r>
            <w:r>
              <w:rPr>
                <w:sz w:val="20"/>
                <w:szCs w:val="20"/>
              </w:rPr>
              <w:t>r</w:t>
            </w:r>
            <w:r w:rsidRPr="0079236D">
              <w:rPr>
                <w:sz w:val="20"/>
                <w:szCs w:val="20"/>
              </w:rPr>
              <w:t>etailer must</w:t>
            </w:r>
            <w:r w:rsidR="00C0291C">
              <w:rPr>
                <w:sz w:val="20"/>
                <w:szCs w:val="20"/>
              </w:rPr>
              <w:t xml:space="preserve"> provide reasonable written notice of the decision, with reasons. </w:t>
            </w:r>
          </w:p>
          <w:p w14:paraId="598F0DAD" w14:textId="2CFBDAB1" w:rsidR="00204716" w:rsidRPr="00C0291C" w:rsidRDefault="00C0291C" w:rsidP="007D2B74">
            <w:pPr>
              <w:spacing w:after="120"/>
              <w:rPr>
                <w:sz w:val="20"/>
                <w:szCs w:val="20"/>
              </w:rPr>
            </w:pPr>
            <w:r>
              <w:rPr>
                <w:sz w:val="20"/>
                <w:szCs w:val="20"/>
              </w:rPr>
              <w:t xml:space="preserve">This must </w:t>
            </w:r>
            <w:r w:rsidR="00204716" w:rsidRPr="00C0291C">
              <w:rPr>
                <w:sz w:val="20"/>
                <w:szCs w:val="20"/>
              </w:rPr>
              <w:t>allow time for the supplier to engage in dispute resolution if they want</w:t>
            </w:r>
            <w:r w:rsidR="0036786E">
              <w:rPr>
                <w:sz w:val="20"/>
                <w:szCs w:val="20"/>
              </w:rPr>
              <w:t xml:space="preserve"> to.</w:t>
            </w:r>
          </w:p>
        </w:tc>
        <w:tc>
          <w:tcPr>
            <w:tcW w:w="2922" w:type="pct"/>
            <w:shd w:val="clear" w:color="auto" w:fill="D9D9D9" w:themeFill="background1" w:themeFillShade="D9"/>
          </w:tcPr>
          <w:p w14:paraId="1C69612B" w14:textId="0CD250FB" w:rsidR="00204716" w:rsidRDefault="00204716" w:rsidP="007D2B74">
            <w:pPr>
              <w:spacing w:after="120"/>
              <w:rPr>
                <w:b/>
                <w:bCs/>
                <w:sz w:val="20"/>
                <w:szCs w:val="20"/>
              </w:rPr>
            </w:pPr>
            <w:r>
              <w:rPr>
                <w:b/>
                <w:bCs/>
                <w:sz w:val="20"/>
                <w:szCs w:val="20"/>
              </w:rPr>
              <w:t>Process that should be followed</w:t>
            </w:r>
          </w:p>
          <w:p w14:paraId="600C9856" w14:textId="2D2B45FC" w:rsidR="00204716" w:rsidRPr="00204716" w:rsidRDefault="00204716" w:rsidP="007D2B74">
            <w:pPr>
              <w:spacing w:after="120"/>
              <w:rPr>
                <w:sz w:val="20"/>
                <w:szCs w:val="20"/>
              </w:rPr>
            </w:pPr>
            <w:r w:rsidRPr="00184B2C">
              <w:rPr>
                <w:sz w:val="20"/>
                <w:szCs w:val="20"/>
              </w:rPr>
              <w:t xml:space="preserve">Prior to delisting, </w:t>
            </w:r>
            <w:r w:rsidR="00DC7BA3">
              <w:rPr>
                <w:sz w:val="20"/>
                <w:szCs w:val="20"/>
              </w:rPr>
              <w:t>a</w:t>
            </w:r>
            <w:r w:rsidRPr="00184B2C">
              <w:rPr>
                <w:sz w:val="20"/>
                <w:szCs w:val="20"/>
              </w:rPr>
              <w:t xml:space="preserve"> retailer must provide reasonable written notice of the decision to delist</w:t>
            </w:r>
            <w:r w:rsidR="00DC7BA3">
              <w:rPr>
                <w:sz w:val="20"/>
                <w:szCs w:val="20"/>
              </w:rPr>
              <w:t>, outlining the reasons for delisting and the supplier</w:t>
            </w:r>
            <w:r w:rsidR="0036786E">
              <w:rPr>
                <w:sz w:val="20"/>
                <w:szCs w:val="20"/>
              </w:rPr>
              <w:t>’</w:t>
            </w:r>
            <w:r w:rsidR="00DC7BA3">
              <w:rPr>
                <w:sz w:val="20"/>
                <w:szCs w:val="20"/>
              </w:rPr>
              <w:t>s rights</w:t>
            </w:r>
            <w:r>
              <w:rPr>
                <w:sz w:val="20"/>
                <w:szCs w:val="20"/>
              </w:rPr>
              <w:t xml:space="preserve"> </w:t>
            </w:r>
            <w:r w:rsidR="00DC7BA3">
              <w:rPr>
                <w:sz w:val="20"/>
                <w:szCs w:val="20"/>
              </w:rPr>
              <w:t>(including review and dispute resolution)</w:t>
            </w:r>
            <w:r w:rsidR="0036786E">
              <w:rPr>
                <w:sz w:val="20"/>
                <w:szCs w:val="20"/>
              </w:rPr>
              <w:t>.</w:t>
            </w:r>
          </w:p>
        </w:tc>
      </w:tr>
    </w:tbl>
    <w:p w14:paraId="173C7033" w14:textId="2FE006AA" w:rsidR="00870AC1" w:rsidRPr="00870AC1" w:rsidRDefault="005445D7" w:rsidP="00870AC1">
      <w:pPr>
        <w:pStyle w:val="Numbered"/>
      </w:pPr>
      <w:r>
        <w:t xml:space="preserve">In relation to </w:t>
      </w:r>
      <w:r w:rsidR="0036786E">
        <w:t xml:space="preserve">product </w:t>
      </w:r>
      <w:r>
        <w:t>ranging, shelf allocation and delisting, t</w:t>
      </w:r>
      <w:r w:rsidR="00870AC1" w:rsidRPr="00870AC1">
        <w:t xml:space="preserve">he options </w:t>
      </w:r>
      <w:r w:rsidR="005A0F04">
        <w:t>are</w:t>
      </w:r>
      <w:r w:rsidR="004B6AFC">
        <w:t>:</w:t>
      </w:r>
    </w:p>
    <w:tbl>
      <w:tblPr>
        <w:tblStyle w:val="TableGrid"/>
        <w:tblW w:w="9214"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2694"/>
        <w:gridCol w:w="4252"/>
        <w:gridCol w:w="2268"/>
      </w:tblGrid>
      <w:tr w:rsidR="00C12947" w:rsidRPr="00D3390A" w14:paraId="09F01EDD" w14:textId="77777777" w:rsidTr="005D6EA0">
        <w:tc>
          <w:tcPr>
            <w:tcW w:w="2694" w:type="dxa"/>
            <w:shd w:val="clear" w:color="auto" w:fill="B3D0D5"/>
          </w:tcPr>
          <w:p w14:paraId="3A1233EF" w14:textId="77777777" w:rsidR="00C12947" w:rsidRPr="00743B8E" w:rsidRDefault="00C12947" w:rsidP="00793F47">
            <w:pPr>
              <w:pStyle w:val="Numbered"/>
              <w:numPr>
                <w:ilvl w:val="0"/>
                <w:numId w:val="0"/>
              </w:numPr>
              <w:spacing w:before="0"/>
              <w:contextualSpacing/>
              <w:rPr>
                <w:sz w:val="20"/>
                <w:szCs w:val="20"/>
              </w:rPr>
            </w:pPr>
            <w:r w:rsidRPr="00743B8E">
              <w:rPr>
                <w:b/>
                <w:bCs/>
                <w:sz w:val="20"/>
                <w:szCs w:val="20"/>
              </w:rPr>
              <w:t xml:space="preserve">Option 1 (Principle-based Code): </w:t>
            </w:r>
          </w:p>
        </w:tc>
        <w:tc>
          <w:tcPr>
            <w:tcW w:w="4252" w:type="dxa"/>
            <w:shd w:val="clear" w:color="auto" w:fill="B3D0D5"/>
          </w:tcPr>
          <w:p w14:paraId="675F218D" w14:textId="7F10060D" w:rsidR="00C12947" w:rsidRPr="00743B8E" w:rsidRDefault="00D3390A" w:rsidP="00793F47">
            <w:pPr>
              <w:pStyle w:val="Numbered"/>
              <w:numPr>
                <w:ilvl w:val="0"/>
                <w:numId w:val="0"/>
              </w:numPr>
              <w:spacing w:before="0"/>
              <w:contextualSpacing/>
              <w:rPr>
                <w:sz w:val="20"/>
                <w:szCs w:val="20"/>
              </w:rPr>
            </w:pPr>
            <w:r w:rsidRPr="00D3390A">
              <w:rPr>
                <w:b/>
                <w:bCs/>
                <w:sz w:val="20"/>
                <w:szCs w:val="20"/>
              </w:rPr>
              <w:t>Option 2 (Prescriptive Code):</w:t>
            </w:r>
          </w:p>
        </w:tc>
        <w:tc>
          <w:tcPr>
            <w:tcW w:w="2268" w:type="dxa"/>
            <w:shd w:val="clear" w:color="auto" w:fill="B3D0D5"/>
          </w:tcPr>
          <w:p w14:paraId="4797143C" w14:textId="562C9DC0" w:rsidR="00C12947" w:rsidRPr="00743B8E" w:rsidRDefault="00C12947" w:rsidP="00793F47">
            <w:pPr>
              <w:pStyle w:val="Numbered"/>
              <w:numPr>
                <w:ilvl w:val="0"/>
                <w:numId w:val="0"/>
              </w:numPr>
              <w:spacing w:before="0"/>
              <w:contextualSpacing/>
              <w:rPr>
                <w:sz w:val="20"/>
                <w:szCs w:val="20"/>
              </w:rPr>
            </w:pPr>
            <w:r w:rsidRPr="00743B8E">
              <w:rPr>
                <w:b/>
                <w:bCs/>
                <w:sz w:val="20"/>
                <w:szCs w:val="20"/>
              </w:rPr>
              <w:t>Option 3 (</w:t>
            </w:r>
            <w:r w:rsidR="00D3390A" w:rsidRPr="00D3390A">
              <w:rPr>
                <w:b/>
                <w:bCs/>
                <w:sz w:val="20"/>
                <w:szCs w:val="20"/>
              </w:rPr>
              <w:t xml:space="preserve">Alternative </w:t>
            </w:r>
            <w:r w:rsidRPr="00743B8E">
              <w:rPr>
                <w:b/>
                <w:bCs/>
                <w:sz w:val="20"/>
                <w:szCs w:val="20"/>
              </w:rPr>
              <w:t xml:space="preserve">Code): </w:t>
            </w:r>
          </w:p>
        </w:tc>
      </w:tr>
      <w:tr w:rsidR="00C12947" w:rsidRPr="00B61199" w14:paraId="1625620C" w14:textId="77777777" w:rsidTr="005D6EA0">
        <w:tc>
          <w:tcPr>
            <w:tcW w:w="2694" w:type="dxa"/>
            <w:shd w:val="clear" w:color="auto" w:fill="B3D0D5"/>
          </w:tcPr>
          <w:p w14:paraId="170AFAB0" w14:textId="183B8130" w:rsidR="00C12947" w:rsidRDefault="00C12947" w:rsidP="000D60E2">
            <w:pPr>
              <w:pStyle w:val="Numbered"/>
              <w:numPr>
                <w:ilvl w:val="0"/>
                <w:numId w:val="0"/>
              </w:numPr>
              <w:spacing w:before="0"/>
              <w:rPr>
                <w:b/>
                <w:bCs/>
                <w:sz w:val="20"/>
                <w:szCs w:val="20"/>
              </w:rPr>
            </w:pPr>
            <w:r>
              <w:rPr>
                <w:b/>
                <w:bCs/>
                <w:sz w:val="20"/>
                <w:szCs w:val="20"/>
              </w:rPr>
              <w:t>Ranging, shelf allocation</w:t>
            </w:r>
          </w:p>
          <w:p w14:paraId="3DD7BCF8" w14:textId="0E66BCFB" w:rsidR="00C12947" w:rsidRDefault="001826F7" w:rsidP="00793F47">
            <w:pPr>
              <w:pStyle w:val="Numbered"/>
              <w:numPr>
                <w:ilvl w:val="0"/>
                <w:numId w:val="0"/>
              </w:numPr>
              <w:spacing w:before="0"/>
              <w:rPr>
                <w:sz w:val="20"/>
                <w:szCs w:val="20"/>
              </w:rPr>
            </w:pPr>
            <w:r>
              <w:rPr>
                <w:sz w:val="20"/>
                <w:szCs w:val="20"/>
              </w:rPr>
              <w:t>Require consistent treatment of all suppliers</w:t>
            </w:r>
            <w:r w:rsidR="00B74B8E">
              <w:rPr>
                <w:sz w:val="20"/>
                <w:szCs w:val="20"/>
              </w:rPr>
              <w:t xml:space="preserve"> against established </w:t>
            </w:r>
            <w:r w:rsidR="0048555A">
              <w:rPr>
                <w:sz w:val="20"/>
                <w:szCs w:val="20"/>
              </w:rPr>
              <w:t>principles.</w:t>
            </w:r>
          </w:p>
          <w:p w14:paraId="63CFFD34" w14:textId="3DA26212" w:rsidR="00C12947" w:rsidRPr="00C12947" w:rsidRDefault="00C12947" w:rsidP="00793F47">
            <w:pPr>
              <w:pStyle w:val="Numbered"/>
              <w:numPr>
                <w:ilvl w:val="0"/>
                <w:numId w:val="0"/>
              </w:numPr>
              <w:spacing w:before="120"/>
              <w:rPr>
                <w:b/>
                <w:bCs/>
                <w:sz w:val="20"/>
                <w:szCs w:val="20"/>
              </w:rPr>
            </w:pPr>
            <w:r w:rsidRPr="00C12947">
              <w:rPr>
                <w:b/>
                <w:bCs/>
                <w:sz w:val="20"/>
                <w:szCs w:val="20"/>
              </w:rPr>
              <w:t>Delisting</w:t>
            </w:r>
          </w:p>
          <w:p w14:paraId="158015E1" w14:textId="59FABE7C" w:rsidR="00914566" w:rsidRDefault="00914566" w:rsidP="00914566">
            <w:pPr>
              <w:pStyle w:val="Numbered"/>
              <w:numPr>
                <w:ilvl w:val="0"/>
                <w:numId w:val="0"/>
              </w:numPr>
              <w:spacing w:before="0"/>
              <w:rPr>
                <w:sz w:val="20"/>
                <w:szCs w:val="20"/>
              </w:rPr>
            </w:pPr>
            <w:r>
              <w:rPr>
                <w:sz w:val="20"/>
                <w:szCs w:val="20"/>
              </w:rPr>
              <w:t xml:space="preserve">Delisting may only occur for </w:t>
            </w:r>
            <w:r w:rsidR="00C12947" w:rsidRPr="00C12947">
              <w:rPr>
                <w:sz w:val="20"/>
                <w:szCs w:val="20"/>
              </w:rPr>
              <w:t>genuine commercial reasons.</w:t>
            </w:r>
            <w:r w:rsidR="00B74B8E">
              <w:rPr>
                <w:sz w:val="20"/>
                <w:szCs w:val="20"/>
              </w:rPr>
              <w:t xml:space="preserve"> </w:t>
            </w:r>
          </w:p>
          <w:p w14:paraId="7C835907" w14:textId="77777777" w:rsidR="00914566" w:rsidRDefault="00914566" w:rsidP="00914566">
            <w:pPr>
              <w:pStyle w:val="Numbered"/>
              <w:numPr>
                <w:ilvl w:val="0"/>
                <w:numId w:val="0"/>
              </w:numPr>
              <w:spacing w:before="0"/>
              <w:rPr>
                <w:sz w:val="20"/>
                <w:szCs w:val="20"/>
              </w:rPr>
            </w:pPr>
          </w:p>
          <w:p w14:paraId="020F238E" w14:textId="08A05283" w:rsidR="00C12947" w:rsidRPr="00C12947" w:rsidRDefault="00C12947" w:rsidP="00914566">
            <w:pPr>
              <w:pStyle w:val="Numbered"/>
              <w:numPr>
                <w:ilvl w:val="0"/>
                <w:numId w:val="0"/>
              </w:numPr>
              <w:spacing w:before="0"/>
              <w:rPr>
                <w:sz w:val="20"/>
                <w:szCs w:val="20"/>
                <w:highlight w:val="yellow"/>
              </w:rPr>
            </w:pPr>
            <w:r w:rsidRPr="00C12947">
              <w:rPr>
                <w:sz w:val="20"/>
                <w:szCs w:val="20"/>
              </w:rPr>
              <w:t>Delisting process must provide supplier with written notice of the decision, including reasons</w:t>
            </w:r>
            <w:r w:rsidR="0036786E">
              <w:rPr>
                <w:sz w:val="20"/>
                <w:szCs w:val="20"/>
              </w:rPr>
              <w:t xml:space="preserve"> for the decision</w:t>
            </w:r>
            <w:r w:rsidR="00914566">
              <w:rPr>
                <w:sz w:val="20"/>
                <w:szCs w:val="20"/>
              </w:rPr>
              <w:t>, and sufficient time to engage in dispute resolution if they want</w:t>
            </w:r>
            <w:r w:rsidR="0036786E">
              <w:rPr>
                <w:sz w:val="20"/>
                <w:szCs w:val="20"/>
              </w:rPr>
              <w:t xml:space="preserve"> to</w:t>
            </w:r>
            <w:r w:rsidR="00914566">
              <w:rPr>
                <w:sz w:val="20"/>
                <w:szCs w:val="20"/>
              </w:rPr>
              <w:t xml:space="preserve">. </w:t>
            </w:r>
          </w:p>
        </w:tc>
        <w:tc>
          <w:tcPr>
            <w:tcW w:w="4252" w:type="dxa"/>
            <w:shd w:val="clear" w:color="auto" w:fill="B3D0D5"/>
          </w:tcPr>
          <w:p w14:paraId="0E27FE96" w14:textId="77777777" w:rsidR="00C12947" w:rsidRDefault="00C12947" w:rsidP="000D60E2">
            <w:pPr>
              <w:pStyle w:val="Numbered"/>
              <w:widowControl w:val="0"/>
              <w:numPr>
                <w:ilvl w:val="0"/>
                <w:numId w:val="0"/>
              </w:numPr>
              <w:spacing w:before="0"/>
              <w:rPr>
                <w:b/>
                <w:bCs/>
                <w:sz w:val="20"/>
                <w:szCs w:val="20"/>
              </w:rPr>
            </w:pPr>
            <w:r>
              <w:rPr>
                <w:b/>
                <w:bCs/>
                <w:sz w:val="20"/>
                <w:szCs w:val="20"/>
              </w:rPr>
              <w:t>Ranging, shelf allocation</w:t>
            </w:r>
          </w:p>
          <w:p w14:paraId="34CA24AD" w14:textId="612E15F8" w:rsidR="00C12947" w:rsidRDefault="00914566" w:rsidP="007D2B74">
            <w:pPr>
              <w:pStyle w:val="Numbered"/>
              <w:widowControl w:val="0"/>
              <w:numPr>
                <w:ilvl w:val="0"/>
                <w:numId w:val="0"/>
              </w:numPr>
              <w:spacing w:before="0"/>
              <w:rPr>
                <w:sz w:val="20"/>
                <w:szCs w:val="20"/>
              </w:rPr>
            </w:pPr>
            <w:r>
              <w:rPr>
                <w:sz w:val="20"/>
                <w:szCs w:val="20"/>
              </w:rPr>
              <w:t>Require consistent treatment of all suppliers against a</w:t>
            </w:r>
            <w:r w:rsidR="008C2FE5">
              <w:rPr>
                <w:sz w:val="20"/>
                <w:szCs w:val="20"/>
              </w:rPr>
              <w:t xml:space="preserve"> designated</w:t>
            </w:r>
            <w:r>
              <w:rPr>
                <w:sz w:val="20"/>
                <w:szCs w:val="20"/>
              </w:rPr>
              <w:t xml:space="preserve"> retailer’s product</w:t>
            </w:r>
            <w:r>
              <w:t xml:space="preserve"> </w:t>
            </w:r>
            <w:r w:rsidRPr="00914566">
              <w:rPr>
                <w:sz w:val="20"/>
                <w:szCs w:val="20"/>
              </w:rPr>
              <w:t>ranging principles and shelf space allocation principles</w:t>
            </w:r>
            <w:r w:rsidR="001826F7">
              <w:rPr>
                <w:sz w:val="20"/>
                <w:szCs w:val="20"/>
              </w:rPr>
              <w:t xml:space="preserve"> (or equivalent)</w:t>
            </w:r>
            <w:r>
              <w:rPr>
                <w:sz w:val="20"/>
                <w:szCs w:val="20"/>
              </w:rPr>
              <w:t>.</w:t>
            </w:r>
          </w:p>
          <w:p w14:paraId="3B4A66F7" w14:textId="66F6B625" w:rsidR="00C12947" w:rsidRDefault="008C2FE5" w:rsidP="007D2B74">
            <w:pPr>
              <w:pStyle w:val="Numbered"/>
              <w:widowControl w:val="0"/>
              <w:numPr>
                <w:ilvl w:val="0"/>
                <w:numId w:val="0"/>
              </w:numPr>
              <w:spacing w:before="120"/>
              <w:rPr>
                <w:sz w:val="20"/>
                <w:szCs w:val="20"/>
              </w:rPr>
            </w:pPr>
            <w:r>
              <w:rPr>
                <w:sz w:val="20"/>
                <w:szCs w:val="20"/>
              </w:rPr>
              <w:t xml:space="preserve">Designated retailer </w:t>
            </w:r>
            <w:r w:rsidR="00914566">
              <w:rPr>
                <w:sz w:val="20"/>
                <w:szCs w:val="20"/>
              </w:rPr>
              <w:t xml:space="preserve">must provide </w:t>
            </w:r>
            <w:r w:rsidR="00C12947">
              <w:rPr>
                <w:sz w:val="20"/>
                <w:szCs w:val="20"/>
              </w:rPr>
              <w:t xml:space="preserve">advance notice of range reviews (or equivalent), </w:t>
            </w:r>
            <w:r w:rsidR="00914566">
              <w:rPr>
                <w:sz w:val="20"/>
                <w:szCs w:val="20"/>
              </w:rPr>
              <w:t>and necessary information to suppliers.</w:t>
            </w:r>
          </w:p>
          <w:p w14:paraId="19D3BC2E" w14:textId="4A0A2233" w:rsidR="00C12947" w:rsidRPr="00B61199" w:rsidRDefault="00C12947" w:rsidP="007D2B74">
            <w:pPr>
              <w:pStyle w:val="Numbered"/>
              <w:widowControl w:val="0"/>
              <w:numPr>
                <w:ilvl w:val="0"/>
                <w:numId w:val="0"/>
              </w:numPr>
              <w:spacing w:before="120"/>
              <w:rPr>
                <w:b/>
                <w:bCs/>
                <w:sz w:val="20"/>
                <w:szCs w:val="20"/>
              </w:rPr>
            </w:pPr>
            <w:r>
              <w:rPr>
                <w:b/>
                <w:bCs/>
                <w:sz w:val="20"/>
                <w:szCs w:val="20"/>
              </w:rPr>
              <w:t>D</w:t>
            </w:r>
            <w:r w:rsidRPr="00B61199">
              <w:rPr>
                <w:b/>
                <w:bCs/>
                <w:sz w:val="20"/>
                <w:szCs w:val="20"/>
              </w:rPr>
              <w:t>elisting</w:t>
            </w:r>
          </w:p>
          <w:p w14:paraId="25EB6E1D" w14:textId="6CE6BE60" w:rsidR="00C12947" w:rsidRDefault="00914566" w:rsidP="007D2B74">
            <w:pPr>
              <w:pStyle w:val="Numbered"/>
              <w:widowControl w:val="0"/>
              <w:numPr>
                <w:ilvl w:val="0"/>
                <w:numId w:val="0"/>
              </w:numPr>
              <w:spacing w:before="0"/>
              <w:rPr>
                <w:sz w:val="20"/>
                <w:szCs w:val="20"/>
              </w:rPr>
            </w:pPr>
            <w:r>
              <w:rPr>
                <w:sz w:val="20"/>
                <w:szCs w:val="20"/>
              </w:rPr>
              <w:t xml:space="preserve">Delisting may only occur in accordance with the </w:t>
            </w:r>
            <w:r w:rsidR="00E21379">
              <w:rPr>
                <w:sz w:val="20"/>
                <w:szCs w:val="20"/>
              </w:rPr>
              <w:t xml:space="preserve">grocery </w:t>
            </w:r>
            <w:r>
              <w:rPr>
                <w:sz w:val="20"/>
                <w:szCs w:val="20"/>
              </w:rPr>
              <w:t>supply agreement and for genuine commercial reasons</w:t>
            </w:r>
            <w:r w:rsidR="00E21379">
              <w:rPr>
                <w:sz w:val="20"/>
                <w:szCs w:val="20"/>
              </w:rPr>
              <w:t xml:space="preserve"> (as per the Australian Code)</w:t>
            </w:r>
            <w:r>
              <w:rPr>
                <w:sz w:val="20"/>
                <w:szCs w:val="20"/>
              </w:rPr>
              <w:t>.</w:t>
            </w:r>
          </w:p>
          <w:p w14:paraId="7DFDB92D" w14:textId="557303B1" w:rsidR="00C12947" w:rsidRPr="0017051B" w:rsidRDefault="00C12947" w:rsidP="007D2B74">
            <w:pPr>
              <w:pStyle w:val="Numbered"/>
              <w:widowControl w:val="0"/>
              <w:numPr>
                <w:ilvl w:val="0"/>
                <w:numId w:val="0"/>
              </w:numPr>
              <w:spacing w:before="120"/>
              <w:rPr>
                <w:sz w:val="20"/>
                <w:szCs w:val="20"/>
              </w:rPr>
            </w:pPr>
            <w:r w:rsidRPr="00C12947">
              <w:rPr>
                <w:sz w:val="20"/>
                <w:szCs w:val="20"/>
              </w:rPr>
              <w:t>Delisting process must provide supplier with reasonable written notice of the decision to delist, including reasons for the decision</w:t>
            </w:r>
            <w:r w:rsidR="00914566">
              <w:rPr>
                <w:sz w:val="20"/>
                <w:szCs w:val="20"/>
              </w:rPr>
              <w:t>, and enable supplier to engage in dispute resolution if they want</w:t>
            </w:r>
            <w:r w:rsidR="0036786E">
              <w:rPr>
                <w:sz w:val="20"/>
                <w:szCs w:val="20"/>
              </w:rPr>
              <w:t xml:space="preserve"> to</w:t>
            </w:r>
            <w:r w:rsidR="00914566">
              <w:rPr>
                <w:sz w:val="20"/>
                <w:szCs w:val="20"/>
              </w:rPr>
              <w:t>.</w:t>
            </w:r>
          </w:p>
        </w:tc>
        <w:tc>
          <w:tcPr>
            <w:tcW w:w="2268" w:type="dxa"/>
            <w:shd w:val="clear" w:color="auto" w:fill="B3D0D5"/>
          </w:tcPr>
          <w:p w14:paraId="7C7492D1" w14:textId="77777777" w:rsidR="000D60E2" w:rsidRPr="000D60E2" w:rsidRDefault="000D60E2" w:rsidP="000D60E2">
            <w:pPr>
              <w:pStyle w:val="Numbered"/>
              <w:numPr>
                <w:ilvl w:val="0"/>
                <w:numId w:val="0"/>
              </w:numPr>
              <w:spacing w:before="0" w:after="120"/>
              <w:rPr>
                <w:b/>
                <w:bCs/>
                <w:sz w:val="20"/>
                <w:szCs w:val="20"/>
              </w:rPr>
            </w:pPr>
            <w:r w:rsidRPr="000D60E2">
              <w:rPr>
                <w:b/>
                <w:bCs/>
                <w:sz w:val="20"/>
                <w:szCs w:val="20"/>
              </w:rPr>
              <w:t xml:space="preserve">Option 2 and </w:t>
            </w:r>
          </w:p>
          <w:p w14:paraId="32482E4F" w14:textId="2B26DA73" w:rsidR="00914566" w:rsidRPr="00914566" w:rsidRDefault="00914566" w:rsidP="007D2B74">
            <w:pPr>
              <w:pStyle w:val="Numbered"/>
              <w:numPr>
                <w:ilvl w:val="0"/>
                <w:numId w:val="0"/>
              </w:numPr>
              <w:spacing w:before="0"/>
              <w:rPr>
                <w:sz w:val="20"/>
                <w:szCs w:val="20"/>
              </w:rPr>
            </w:pPr>
            <w:r>
              <w:rPr>
                <w:sz w:val="20"/>
                <w:szCs w:val="20"/>
              </w:rPr>
              <w:t xml:space="preserve">Prohibit any notice </w:t>
            </w:r>
            <w:r w:rsidR="001826F7">
              <w:rPr>
                <w:sz w:val="20"/>
                <w:szCs w:val="20"/>
              </w:rPr>
              <w:t xml:space="preserve">or advance warning </w:t>
            </w:r>
            <w:r>
              <w:rPr>
                <w:sz w:val="20"/>
                <w:szCs w:val="20"/>
              </w:rPr>
              <w:t xml:space="preserve">of delisting </w:t>
            </w:r>
            <w:r w:rsidR="001826F7">
              <w:rPr>
                <w:sz w:val="20"/>
                <w:szCs w:val="20"/>
              </w:rPr>
              <w:t xml:space="preserve">to be provided </w:t>
            </w:r>
            <w:r w:rsidR="00720AD8">
              <w:rPr>
                <w:sz w:val="20"/>
                <w:szCs w:val="20"/>
              </w:rPr>
              <w:t xml:space="preserve">prior to, or </w:t>
            </w:r>
            <w:r w:rsidR="001826F7">
              <w:rPr>
                <w:sz w:val="20"/>
                <w:szCs w:val="20"/>
              </w:rPr>
              <w:t>as part of</w:t>
            </w:r>
            <w:r w:rsidR="00720AD8">
              <w:rPr>
                <w:sz w:val="20"/>
                <w:szCs w:val="20"/>
              </w:rPr>
              <w:t>,</w:t>
            </w:r>
            <w:r w:rsidR="001826F7">
              <w:rPr>
                <w:sz w:val="20"/>
                <w:szCs w:val="20"/>
              </w:rPr>
              <w:t xml:space="preserve"> a range review process. </w:t>
            </w:r>
          </w:p>
        </w:tc>
      </w:tr>
    </w:tbl>
    <w:p w14:paraId="3188AB9A" w14:textId="2C26D98C" w:rsidR="003F76D9" w:rsidRPr="003F76D9" w:rsidRDefault="001826F7" w:rsidP="001826F7">
      <w:pPr>
        <w:pStyle w:val="Numbered"/>
      </w:pPr>
      <w:bookmarkStart w:id="160" w:name="_Toc103173705"/>
      <w:r>
        <w:rPr>
          <w:b/>
          <w:bCs/>
        </w:rPr>
        <w:t xml:space="preserve">Options 1 </w:t>
      </w:r>
      <w:r w:rsidR="003F76D9">
        <w:t xml:space="preserve">is comparatively the least effective but the most durable due to its flexibility. It does require consistent treatment of suppliers (including private label suppliers), in any delisting processes.  </w:t>
      </w:r>
    </w:p>
    <w:p w14:paraId="1336E918" w14:textId="4FA708AF" w:rsidR="001826F7" w:rsidRDefault="0048555A" w:rsidP="003F76D9">
      <w:pPr>
        <w:pStyle w:val="Numbered"/>
      </w:pPr>
      <w:r>
        <w:rPr>
          <w:b/>
          <w:bCs/>
        </w:rPr>
        <w:t xml:space="preserve">Option </w:t>
      </w:r>
      <w:r w:rsidR="001826F7">
        <w:rPr>
          <w:b/>
          <w:bCs/>
        </w:rPr>
        <w:t xml:space="preserve">2 </w:t>
      </w:r>
      <w:r w:rsidR="001826F7">
        <w:t xml:space="preserve">is </w:t>
      </w:r>
      <w:r w:rsidR="003F76D9">
        <w:t xml:space="preserve">effective because it has </w:t>
      </w:r>
      <w:r w:rsidR="001826F7">
        <w:t xml:space="preserve">more specific </w:t>
      </w:r>
      <w:r w:rsidR="003F76D9">
        <w:t xml:space="preserve">protections for suppliers </w:t>
      </w:r>
      <w:r w:rsidR="001826F7">
        <w:t xml:space="preserve">in relation to </w:t>
      </w:r>
      <w:r w:rsidR="0036786E">
        <w:t xml:space="preserve">product </w:t>
      </w:r>
      <w:r w:rsidR="001826F7">
        <w:t xml:space="preserve">ranging, shelf space allocation, and range reviews. </w:t>
      </w:r>
      <w:r w:rsidR="003F76D9">
        <w:t>It also provides more detail around</w:t>
      </w:r>
      <w:r w:rsidR="001826F7">
        <w:t xml:space="preserve"> </w:t>
      </w:r>
      <w:r w:rsidR="001826F7">
        <w:lastRenderedPageBreak/>
        <w:t>‘genuine commercial reasons’</w:t>
      </w:r>
      <w:r w:rsidR="003F76D9">
        <w:t xml:space="preserve">. The extra detail may make </w:t>
      </w:r>
      <w:r>
        <w:rPr>
          <w:b/>
          <w:bCs/>
        </w:rPr>
        <w:t>O</w:t>
      </w:r>
      <w:r w:rsidR="00EB5C22">
        <w:rPr>
          <w:b/>
          <w:bCs/>
        </w:rPr>
        <w:t xml:space="preserve">ption 2 </w:t>
      </w:r>
      <w:r w:rsidR="003F76D9">
        <w:t xml:space="preserve">easier to implement, meaning it could be more </w:t>
      </w:r>
      <w:r w:rsidR="00EB5C22">
        <w:t xml:space="preserve">efficient than </w:t>
      </w:r>
      <w:r>
        <w:rPr>
          <w:b/>
          <w:bCs/>
        </w:rPr>
        <w:t>O</w:t>
      </w:r>
      <w:r w:rsidR="00EB5C22" w:rsidRPr="00EB5C22">
        <w:rPr>
          <w:b/>
          <w:bCs/>
        </w:rPr>
        <w:t>ption 1</w:t>
      </w:r>
      <w:r w:rsidR="003F76D9">
        <w:rPr>
          <w:b/>
          <w:bCs/>
        </w:rPr>
        <w:t>.</w:t>
      </w:r>
      <w:r w:rsidR="00EB5C22">
        <w:t xml:space="preserve"> </w:t>
      </w:r>
    </w:p>
    <w:p w14:paraId="5698A87D" w14:textId="55806DA0" w:rsidR="00EB5C22" w:rsidRDefault="001826F7" w:rsidP="001826F7">
      <w:pPr>
        <w:pStyle w:val="Numbered"/>
      </w:pPr>
      <w:r>
        <w:rPr>
          <w:b/>
          <w:bCs/>
        </w:rPr>
        <w:t xml:space="preserve">Option 3 </w:t>
      </w:r>
      <w:r w:rsidR="00EB5C22" w:rsidRPr="00EB5C22">
        <w:t>is very similar to</w:t>
      </w:r>
      <w:r w:rsidR="00EB5C22">
        <w:rPr>
          <w:b/>
          <w:bCs/>
        </w:rPr>
        <w:t xml:space="preserve"> </w:t>
      </w:r>
      <w:r w:rsidR="0048555A">
        <w:rPr>
          <w:b/>
          <w:bCs/>
        </w:rPr>
        <w:t>O</w:t>
      </w:r>
      <w:r w:rsidR="00EB5C22">
        <w:rPr>
          <w:b/>
          <w:bCs/>
        </w:rPr>
        <w:t>ption 2</w:t>
      </w:r>
      <w:r w:rsidR="003F76D9">
        <w:t xml:space="preserve"> in terms of efficiency and durability, but it is more effective because it </w:t>
      </w:r>
      <w:r>
        <w:t xml:space="preserve">provides additional </w:t>
      </w:r>
      <w:r w:rsidR="003F76D9">
        <w:t>transparency (and limitations) to stop a designated retailer advancing a supplier towards delisting prior to a range review.</w:t>
      </w:r>
    </w:p>
    <w:p w14:paraId="3E160D2A" w14:textId="5FCE8FE8" w:rsidR="001826F7" w:rsidRDefault="00EB5C22" w:rsidP="001826F7">
      <w:pPr>
        <w:pStyle w:val="Numbered"/>
      </w:pPr>
      <w:r>
        <w:t xml:space="preserve">As indicated above, all three options focus on the process of delisting to provide improved transparency and certainty of process for suppliers. The more prescriptive and detailed processes may </w:t>
      </w:r>
      <w:r w:rsidR="003A202C">
        <w:t xml:space="preserve">slow the process of delisting, but should not stop the designated retailer from delisting a product for genuine commercial reasons. This will allow a designated retailer to continue to adjust its product offering to meet the demands of </w:t>
      </w:r>
      <w:r w:rsidR="003A3690">
        <w:t xml:space="preserve">consumers. </w:t>
      </w:r>
    </w:p>
    <w:p w14:paraId="276ADBDD" w14:textId="58C76822" w:rsidR="00C94FFA" w:rsidRDefault="00793F47" w:rsidP="00871288">
      <w:pPr>
        <w:pStyle w:val="Heading2"/>
        <w:tabs>
          <w:tab w:val="left" w:pos="567"/>
        </w:tabs>
      </w:pPr>
      <w:bookmarkStart w:id="161" w:name="_Toc104358666"/>
      <w:bookmarkStart w:id="162" w:name="_Toc107919646"/>
      <w:r>
        <w:t>6.5</w:t>
      </w:r>
      <w:r w:rsidR="00871288">
        <w:tab/>
      </w:r>
      <w:r w:rsidR="00870AC1">
        <w:t>Other obligations</w:t>
      </w:r>
      <w:bookmarkStart w:id="163" w:name="_Toc103173715"/>
      <w:bookmarkEnd w:id="160"/>
      <w:bookmarkEnd w:id="161"/>
      <w:bookmarkEnd w:id="162"/>
      <w:r w:rsidR="00C94FFA" w:rsidRPr="00C94FFA">
        <w:t xml:space="preserve"> </w:t>
      </w:r>
      <w:bookmarkEnd w:id="163"/>
    </w:p>
    <w:p w14:paraId="670AD802" w14:textId="5672F69B" w:rsidR="00D9099C" w:rsidRPr="00D9099C" w:rsidRDefault="00D9099C" w:rsidP="00D9099C">
      <w:pPr>
        <w:pStyle w:val="Numbered"/>
        <w:numPr>
          <w:ilvl w:val="0"/>
          <w:numId w:val="0"/>
        </w:numPr>
        <w:ind w:left="567" w:hanging="567"/>
        <w:rPr>
          <w:b/>
          <w:bCs/>
        </w:rPr>
      </w:pPr>
      <w:r>
        <w:rPr>
          <w:b/>
          <w:bCs/>
        </w:rPr>
        <w:t>Confidential information, intellectual property, business disruption and freedom of association</w:t>
      </w:r>
    </w:p>
    <w:p w14:paraId="57BF3F6D" w14:textId="4FB0C172" w:rsidR="000F475D" w:rsidRDefault="00F51875" w:rsidP="00870AC1">
      <w:pPr>
        <w:pStyle w:val="Numbered"/>
      </w:pPr>
      <w:r>
        <w:t>C</w:t>
      </w:r>
      <w:r w:rsidR="000F475D">
        <w:t xml:space="preserve">oncerns </w:t>
      </w:r>
      <w:r>
        <w:t>have been</w:t>
      </w:r>
      <w:r w:rsidR="000F475D">
        <w:t xml:space="preserve"> raised by suppliers that </w:t>
      </w:r>
      <w:r w:rsidR="00443BAD">
        <w:t xml:space="preserve">designated </w:t>
      </w:r>
      <w:r w:rsidR="000F475D" w:rsidRPr="00870AC1">
        <w:t>retailers have, or may</w:t>
      </w:r>
      <w:r w:rsidR="000F475D">
        <w:t xml:space="preserve"> in the future</w:t>
      </w:r>
      <w:r w:rsidR="000F475D" w:rsidRPr="00870AC1">
        <w:t>, share confidential information and intellectual property with their private label</w:t>
      </w:r>
      <w:r w:rsidR="000F475D">
        <w:t xml:space="preserve"> brands</w:t>
      </w:r>
      <w:r w:rsidR="000F475D" w:rsidRPr="00870AC1">
        <w:t xml:space="preserve">. </w:t>
      </w:r>
      <w:r>
        <w:t>T</w:t>
      </w:r>
      <w:r w:rsidR="00B921BA">
        <w:t xml:space="preserve">his </w:t>
      </w:r>
      <w:r w:rsidR="00852D15">
        <w:t xml:space="preserve">could </w:t>
      </w:r>
      <w:r w:rsidR="00B921BA">
        <w:t>reduce the incentives for supplier</w:t>
      </w:r>
      <w:r>
        <w:t>s</w:t>
      </w:r>
      <w:r w:rsidR="00B921BA">
        <w:t xml:space="preserve"> to invest and innovate</w:t>
      </w:r>
      <w:r w:rsidR="00852D15">
        <w:t>.</w:t>
      </w:r>
    </w:p>
    <w:p w14:paraId="4D6DDE68" w14:textId="7881BFD8" w:rsidR="00852D15" w:rsidRDefault="00852D15" w:rsidP="00852D15">
      <w:pPr>
        <w:pStyle w:val="Numbered"/>
      </w:pPr>
      <w:r>
        <w:t xml:space="preserve">For </w:t>
      </w:r>
      <w:r>
        <w:rPr>
          <w:lang w:val="mi-NZ"/>
        </w:rPr>
        <w:t xml:space="preserve">Māori </w:t>
      </w:r>
      <w:r>
        <w:t>suppliers, some knowledge that underpins intellectual property may be a taonga – a cultural treasure – and should be respected as such.</w:t>
      </w:r>
    </w:p>
    <w:p w14:paraId="7EA256B3" w14:textId="04512B51" w:rsidR="00870AC1" w:rsidRDefault="00870AC1" w:rsidP="00B921BA">
      <w:pPr>
        <w:pStyle w:val="Numbered"/>
      </w:pPr>
      <w:r w:rsidRPr="00870AC1">
        <w:t>The Australian Code has provisions relating</w:t>
      </w:r>
      <w:r>
        <w:t xml:space="preserve"> to</w:t>
      </w:r>
      <w:r w:rsidR="003A3690">
        <w:t xml:space="preserve"> the protection of</w:t>
      </w:r>
      <w:r>
        <w:t xml:space="preserve"> confidential information, intellectual property rights, the transfer of intellectual property, business disruption and freedom of association</w:t>
      </w:r>
      <w:r w:rsidR="003A3690">
        <w:t xml:space="preserve"> (</w:t>
      </w:r>
      <w:r w:rsidR="00F51875">
        <w:t>see</w:t>
      </w:r>
      <w:r w:rsidR="003A3690">
        <w:t xml:space="preserve"> sections 23, 24, 25, 27, and 29 of the Australian Code)</w:t>
      </w:r>
      <w:r>
        <w:t>.</w:t>
      </w:r>
      <w:r w:rsidR="003A3690">
        <w:t xml:space="preserve"> Generally</w:t>
      </w:r>
      <w:r w:rsidR="00C52787">
        <w:t>,</w:t>
      </w:r>
      <w:r w:rsidR="003A3690">
        <w:t xml:space="preserve"> these provisions require a retailer to respect the </w:t>
      </w:r>
      <w:r w:rsidR="00C52787">
        <w:t xml:space="preserve">supplier’s </w:t>
      </w:r>
      <w:r w:rsidR="003A3690">
        <w:t xml:space="preserve">data or information and hold it in confidence. </w:t>
      </w:r>
    </w:p>
    <w:p w14:paraId="60BCD3F9" w14:textId="6C8BBDA8" w:rsidR="00CE7C79" w:rsidRDefault="00435241" w:rsidP="00CE7C79">
      <w:pPr>
        <w:pStyle w:val="Numbered"/>
        <w:numPr>
          <w:ilvl w:val="0"/>
          <w:numId w:val="0"/>
        </w:numPr>
        <w:ind w:left="567" w:hanging="567"/>
        <w:rPr>
          <w:b/>
          <w:bCs/>
        </w:rPr>
      </w:pPr>
      <w:r>
        <w:rPr>
          <w:b/>
          <w:bCs/>
        </w:rPr>
        <w:t>Whistle-blower</w:t>
      </w:r>
      <w:r w:rsidR="00CE7C79">
        <w:rPr>
          <w:b/>
          <w:bCs/>
        </w:rPr>
        <w:t xml:space="preserve"> protections</w:t>
      </w:r>
    </w:p>
    <w:p w14:paraId="336FD201" w14:textId="26674D51" w:rsidR="003E0B22" w:rsidRDefault="003E0B22" w:rsidP="0060074D">
      <w:pPr>
        <w:pStyle w:val="Numbered"/>
      </w:pPr>
      <w:r>
        <w:t xml:space="preserve">The Commission suggested consideration be given to the </w:t>
      </w:r>
      <w:r w:rsidR="00435241">
        <w:t>whistle-blower</w:t>
      </w:r>
      <w:r>
        <w:t xml:space="preserve"> protections, including anti-retaliation measures. </w:t>
      </w:r>
      <w:r w:rsidR="00535119">
        <w:t>T</w:t>
      </w:r>
      <w:r>
        <w:t>h</w:t>
      </w:r>
      <w:r w:rsidR="00535119">
        <w:t xml:space="preserve">ese protections </w:t>
      </w:r>
      <w:r>
        <w:t xml:space="preserve">may assist in bringing </w:t>
      </w:r>
      <w:r w:rsidR="00C52787">
        <w:t xml:space="preserve">inappropriate </w:t>
      </w:r>
      <w:r>
        <w:t>conduct to the attention of the dispute resolution body and the regulator.</w:t>
      </w:r>
      <w:r w:rsidR="004179C3">
        <w:t xml:space="preserve"> </w:t>
      </w:r>
      <w:r>
        <w:t xml:space="preserve">Anti-retaliation measures </w:t>
      </w:r>
      <w:r w:rsidR="00535119">
        <w:t xml:space="preserve">can be </w:t>
      </w:r>
      <w:r>
        <w:t xml:space="preserve">included in the overarching good faith </w:t>
      </w:r>
      <w:r w:rsidR="00FE13EB">
        <w:t xml:space="preserve">(or </w:t>
      </w:r>
      <w:r>
        <w:t>fair dealing</w:t>
      </w:r>
      <w:r w:rsidR="00FE13EB">
        <w:t>)</w:t>
      </w:r>
      <w:r>
        <w:t xml:space="preserve"> obligation</w:t>
      </w:r>
      <w:r w:rsidR="004179C3">
        <w:t xml:space="preserve">, </w:t>
      </w:r>
      <w:r w:rsidR="00535119">
        <w:t xml:space="preserve">(refer to </w:t>
      </w:r>
      <w:r w:rsidR="0048555A">
        <w:rPr>
          <w:b/>
          <w:bCs/>
        </w:rPr>
        <w:t>C</w:t>
      </w:r>
      <w:r w:rsidR="0048555A" w:rsidRPr="004179C3">
        <w:rPr>
          <w:b/>
          <w:bCs/>
        </w:rPr>
        <w:t xml:space="preserve">hapter </w:t>
      </w:r>
      <w:r w:rsidR="004179C3" w:rsidRPr="004179C3">
        <w:rPr>
          <w:b/>
          <w:bCs/>
        </w:rPr>
        <w:t>4.</w:t>
      </w:r>
      <w:r w:rsidR="00B51109">
        <w:rPr>
          <w:b/>
          <w:bCs/>
        </w:rPr>
        <w:t>3</w:t>
      </w:r>
      <w:r w:rsidR="00535119" w:rsidRPr="00535119">
        <w:t>)</w:t>
      </w:r>
      <w:r w:rsidR="004179C3">
        <w:t>.</w:t>
      </w:r>
      <w:r>
        <w:t xml:space="preserve"> </w:t>
      </w:r>
    </w:p>
    <w:p w14:paraId="490AAFBB" w14:textId="076FAC94" w:rsidR="003E0B22" w:rsidRDefault="004179C3" w:rsidP="003E0B22">
      <w:pPr>
        <w:pStyle w:val="Numbered"/>
      </w:pPr>
      <w:r>
        <w:t>T</w:t>
      </w:r>
      <w:r w:rsidR="003E0B22">
        <w:t xml:space="preserve">argeted </w:t>
      </w:r>
      <w:r w:rsidR="00435241">
        <w:t>whistle-blower</w:t>
      </w:r>
      <w:r w:rsidR="003E0B22">
        <w:t xml:space="preserve"> protections </w:t>
      </w:r>
      <w:r w:rsidR="00844C12">
        <w:t xml:space="preserve">in the Code </w:t>
      </w:r>
      <w:r w:rsidR="003E0B22">
        <w:t xml:space="preserve">could be useful to provide strong assurances that enable any person who </w:t>
      </w:r>
      <w:r w:rsidR="008576C7">
        <w:t>has a complaint to come forward freely</w:t>
      </w:r>
      <w:r w:rsidR="00C52787">
        <w:t xml:space="preserve"> and without fear of retribution from the retailer</w:t>
      </w:r>
      <w:r w:rsidR="008576C7">
        <w:t xml:space="preserve">. </w:t>
      </w:r>
    </w:p>
    <w:p w14:paraId="3C23A117" w14:textId="7E31B96F" w:rsidR="008215C4" w:rsidRPr="00844C12" w:rsidRDefault="004A1B14" w:rsidP="00844C12">
      <w:pPr>
        <w:pStyle w:val="Numbered"/>
        <w:numPr>
          <w:ilvl w:val="0"/>
          <w:numId w:val="0"/>
        </w:numPr>
        <w:ind w:left="567" w:hanging="567"/>
        <w:rPr>
          <w:b/>
          <w:bCs/>
        </w:rPr>
      </w:pPr>
      <w:r>
        <w:rPr>
          <w:b/>
          <w:bCs/>
        </w:rPr>
        <w:t>Pressure</w:t>
      </w:r>
      <w:r w:rsidR="008215C4" w:rsidRPr="00844C12">
        <w:rPr>
          <w:b/>
          <w:bCs/>
        </w:rPr>
        <w:t xml:space="preserve"> to opt out of wholesale supply arrangements</w:t>
      </w:r>
    </w:p>
    <w:p w14:paraId="24FB0EF8" w14:textId="6BF94D77" w:rsidR="008215C4" w:rsidRDefault="008215C4" w:rsidP="008215C4">
      <w:pPr>
        <w:pStyle w:val="Numbered"/>
      </w:pPr>
      <w:r>
        <w:t xml:space="preserve">The </w:t>
      </w:r>
      <w:r w:rsidR="00F00C42">
        <w:t xml:space="preserve">Government’s response to the Commission’s market study includes developing a quasi-regulatory wholesale access regime </w:t>
      </w:r>
      <w:r>
        <w:t xml:space="preserve">to support entry and expansion of competitors in the retail grocery market. </w:t>
      </w:r>
    </w:p>
    <w:p w14:paraId="4BFA9975" w14:textId="1CAE3971" w:rsidR="008215C4" w:rsidRDefault="008215C4" w:rsidP="008215C4">
      <w:pPr>
        <w:pStyle w:val="Numbered"/>
      </w:pPr>
      <w:r>
        <w:lastRenderedPageBreak/>
        <w:t xml:space="preserve">Depending on the wholesale access arrangements, </w:t>
      </w:r>
      <w:r w:rsidR="00844C12">
        <w:t xml:space="preserve">the major grocery </w:t>
      </w:r>
      <w:r>
        <w:t>retailers may have incentives to pressure suppliers into opting out of the wholesale access supply</w:t>
      </w:r>
      <w:r w:rsidR="00F00C42">
        <w:t>, which c</w:t>
      </w:r>
      <w:r w:rsidR="00844C12">
        <w:t xml:space="preserve">ould </w:t>
      </w:r>
      <w:r>
        <w:t xml:space="preserve">reduce the effectiveness of the </w:t>
      </w:r>
      <w:r w:rsidR="00844C12">
        <w:t xml:space="preserve">wholesale </w:t>
      </w:r>
      <w:r>
        <w:t xml:space="preserve">regime. </w:t>
      </w:r>
      <w:r w:rsidR="00844C12">
        <w:t>The Code could limit such conduct</w:t>
      </w:r>
      <w:r w:rsidR="00F00C42">
        <w:t>, or any other conduct towards suppliers that may counteract the intentions of the wholesale access regime</w:t>
      </w:r>
      <w:r w:rsidR="00844C12">
        <w:t>.</w:t>
      </w:r>
      <w:r w:rsidR="00844C12">
        <w:rPr>
          <w:rStyle w:val="FootnoteReference"/>
        </w:rPr>
        <w:footnoteReference w:id="27"/>
      </w:r>
    </w:p>
    <w:p w14:paraId="7421B17D" w14:textId="05BB84B4" w:rsidR="00D9099C" w:rsidRPr="008215C4" w:rsidRDefault="00CE7C79" w:rsidP="008215C4">
      <w:pPr>
        <w:pStyle w:val="Numbered"/>
        <w:numPr>
          <w:ilvl w:val="0"/>
          <w:numId w:val="0"/>
        </w:numPr>
        <w:rPr>
          <w:b/>
          <w:bCs/>
        </w:rPr>
      </w:pPr>
      <w:r w:rsidRPr="008215C4">
        <w:rPr>
          <w:b/>
          <w:bCs/>
        </w:rPr>
        <w:t>Exclusive supply clauses and ‘most favoured nation’ price clauses</w:t>
      </w:r>
    </w:p>
    <w:p w14:paraId="69291C05" w14:textId="16D54341" w:rsidR="00D9099C" w:rsidRDefault="00D9099C" w:rsidP="00D9099C">
      <w:pPr>
        <w:pStyle w:val="Numbered"/>
      </w:pPr>
      <w:r>
        <w:t>The Commission</w:t>
      </w:r>
      <w:r w:rsidR="009E7C38">
        <w:t>’s market study</w:t>
      </w:r>
      <w:r>
        <w:t xml:space="preserve"> </w:t>
      </w:r>
      <w:r w:rsidR="004179C3">
        <w:t xml:space="preserve">did not provide a conclusive view on whether </w:t>
      </w:r>
      <w:r>
        <w:t xml:space="preserve">exclusive supply clauses or </w:t>
      </w:r>
      <w:r w:rsidR="004179C3">
        <w:t xml:space="preserve">best price </w:t>
      </w:r>
      <w:r>
        <w:t>clauses are pro-competitive or no</w:t>
      </w:r>
      <w:r w:rsidR="006C6B52">
        <w:t>t</w:t>
      </w:r>
      <w:r w:rsidR="00A11949">
        <w:t>.</w:t>
      </w:r>
      <w:r w:rsidR="006C6B52">
        <w:t xml:space="preserve"> At this time, </w:t>
      </w:r>
      <w:r w:rsidR="00F00C42">
        <w:t xml:space="preserve">the </w:t>
      </w:r>
      <w:r w:rsidR="006C6B52">
        <w:t xml:space="preserve">Code </w:t>
      </w:r>
      <w:r w:rsidR="00F00C42">
        <w:t xml:space="preserve">will not place any limitations around the use of these clauses in grocery supply </w:t>
      </w:r>
      <w:r>
        <w:t xml:space="preserve">agreements. </w:t>
      </w:r>
      <w:r w:rsidR="00B74B8E">
        <w:t>Monitoring the use of these clauses will be one of the functions of the new regulator.</w:t>
      </w:r>
    </w:p>
    <w:p w14:paraId="3173DB73" w14:textId="3365D7C4" w:rsidR="003621EB" w:rsidRDefault="00535119" w:rsidP="00A57951">
      <w:pPr>
        <w:pStyle w:val="Numbered"/>
      </w:pPr>
      <w:r>
        <w:t>In relation to these other obligations, the options we are considering are:</w:t>
      </w:r>
    </w:p>
    <w:tbl>
      <w:tblPr>
        <w:tblStyle w:val="TableGrid"/>
        <w:tblW w:w="9214"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57" w:type="dxa"/>
          <w:bottom w:w="57" w:type="dxa"/>
        </w:tblCellMar>
        <w:tblLook w:val="0600" w:firstRow="0" w:lastRow="0" w:firstColumn="0" w:lastColumn="0" w:noHBand="1" w:noVBand="1"/>
      </w:tblPr>
      <w:tblGrid>
        <w:gridCol w:w="2977"/>
        <w:gridCol w:w="3260"/>
        <w:gridCol w:w="2977"/>
      </w:tblGrid>
      <w:tr w:rsidR="000C70DF" w:rsidRPr="00D3390A" w14:paraId="157F860B" w14:textId="77777777" w:rsidTr="007D2B74">
        <w:tc>
          <w:tcPr>
            <w:tcW w:w="2977" w:type="dxa"/>
            <w:shd w:val="clear" w:color="auto" w:fill="B3D0D5"/>
          </w:tcPr>
          <w:p w14:paraId="23C8C13B" w14:textId="77777777" w:rsidR="000C70DF" w:rsidRPr="00844C12" w:rsidRDefault="000C70DF" w:rsidP="006C6B52">
            <w:pPr>
              <w:pStyle w:val="Numbered"/>
              <w:numPr>
                <w:ilvl w:val="0"/>
                <w:numId w:val="0"/>
              </w:numPr>
              <w:spacing w:before="0"/>
              <w:rPr>
                <w:sz w:val="20"/>
                <w:szCs w:val="20"/>
              </w:rPr>
            </w:pPr>
            <w:r w:rsidRPr="00844C12">
              <w:rPr>
                <w:b/>
                <w:bCs/>
                <w:sz w:val="20"/>
                <w:szCs w:val="20"/>
              </w:rPr>
              <w:t xml:space="preserve">Option 1 (Principle-based Code): </w:t>
            </w:r>
          </w:p>
        </w:tc>
        <w:tc>
          <w:tcPr>
            <w:tcW w:w="3260" w:type="dxa"/>
            <w:shd w:val="clear" w:color="auto" w:fill="B3D0D5"/>
          </w:tcPr>
          <w:p w14:paraId="67A9B159" w14:textId="55A02430" w:rsidR="000C70DF" w:rsidRPr="00844C12" w:rsidRDefault="00D3390A" w:rsidP="006C6B52">
            <w:pPr>
              <w:pStyle w:val="Numbered"/>
              <w:numPr>
                <w:ilvl w:val="0"/>
                <w:numId w:val="0"/>
              </w:numPr>
              <w:spacing w:before="0"/>
              <w:rPr>
                <w:sz w:val="20"/>
                <w:szCs w:val="20"/>
              </w:rPr>
            </w:pPr>
            <w:r w:rsidRPr="00D3390A">
              <w:rPr>
                <w:b/>
                <w:bCs/>
                <w:sz w:val="20"/>
                <w:szCs w:val="20"/>
              </w:rPr>
              <w:t>Option 2 (Prescriptive Code):</w:t>
            </w:r>
          </w:p>
        </w:tc>
        <w:tc>
          <w:tcPr>
            <w:tcW w:w="2977" w:type="dxa"/>
            <w:shd w:val="clear" w:color="auto" w:fill="B3D0D5"/>
          </w:tcPr>
          <w:p w14:paraId="74059705" w14:textId="1BF75E3F" w:rsidR="000C70DF" w:rsidRPr="00844C12" w:rsidRDefault="000C70DF" w:rsidP="006C6B52">
            <w:pPr>
              <w:pStyle w:val="Numbered"/>
              <w:numPr>
                <w:ilvl w:val="0"/>
                <w:numId w:val="0"/>
              </w:numPr>
              <w:spacing w:before="0"/>
              <w:rPr>
                <w:sz w:val="20"/>
                <w:szCs w:val="20"/>
              </w:rPr>
            </w:pPr>
            <w:r w:rsidRPr="00844C12">
              <w:rPr>
                <w:b/>
                <w:bCs/>
                <w:sz w:val="20"/>
                <w:szCs w:val="20"/>
              </w:rPr>
              <w:t>Option 3 (</w:t>
            </w:r>
            <w:r w:rsidR="00D3390A" w:rsidRPr="00D3390A">
              <w:rPr>
                <w:b/>
                <w:bCs/>
                <w:sz w:val="20"/>
                <w:szCs w:val="20"/>
              </w:rPr>
              <w:t xml:space="preserve">Alternative </w:t>
            </w:r>
            <w:r w:rsidRPr="00844C12">
              <w:rPr>
                <w:b/>
                <w:bCs/>
                <w:sz w:val="20"/>
                <w:szCs w:val="20"/>
              </w:rPr>
              <w:t xml:space="preserve">Code): </w:t>
            </w:r>
          </w:p>
        </w:tc>
      </w:tr>
      <w:tr w:rsidR="003E0B22" w:rsidRPr="006C6B52" w14:paraId="08984319" w14:textId="77777777" w:rsidTr="007D2B74">
        <w:tc>
          <w:tcPr>
            <w:tcW w:w="2977" w:type="dxa"/>
            <w:shd w:val="clear" w:color="auto" w:fill="B3D0D5"/>
          </w:tcPr>
          <w:p w14:paraId="65899A22" w14:textId="1273A62E" w:rsidR="003E0B22" w:rsidRPr="006C6B52" w:rsidRDefault="00535119" w:rsidP="007D2B74">
            <w:pPr>
              <w:pStyle w:val="Numbered"/>
              <w:numPr>
                <w:ilvl w:val="0"/>
                <w:numId w:val="0"/>
              </w:numPr>
              <w:spacing w:before="0" w:after="120"/>
              <w:rPr>
                <w:sz w:val="20"/>
                <w:szCs w:val="20"/>
              </w:rPr>
            </w:pPr>
            <w:r>
              <w:rPr>
                <w:sz w:val="20"/>
                <w:szCs w:val="20"/>
              </w:rPr>
              <w:t>Protection of supplier’s confidential information, and intellectual property</w:t>
            </w:r>
            <w:r w:rsidR="00892E66">
              <w:rPr>
                <w:sz w:val="20"/>
                <w:szCs w:val="20"/>
              </w:rPr>
              <w:t xml:space="preserve"> by requiring the designated retailer to hold any information provided by the supplier in confidence and for the purpose it was provided</w:t>
            </w:r>
            <w:r>
              <w:rPr>
                <w:sz w:val="20"/>
                <w:szCs w:val="20"/>
              </w:rPr>
              <w:t>.</w:t>
            </w:r>
          </w:p>
        </w:tc>
        <w:tc>
          <w:tcPr>
            <w:tcW w:w="3260" w:type="dxa"/>
            <w:shd w:val="clear" w:color="auto" w:fill="B3D0D5"/>
          </w:tcPr>
          <w:p w14:paraId="5403E33C" w14:textId="77777777" w:rsidR="00F00C42" w:rsidRDefault="00892E66" w:rsidP="007D2B74">
            <w:pPr>
              <w:pStyle w:val="Numbered"/>
              <w:numPr>
                <w:ilvl w:val="0"/>
                <w:numId w:val="0"/>
              </w:numPr>
              <w:spacing w:before="0" w:after="120"/>
              <w:rPr>
                <w:b/>
                <w:bCs/>
                <w:sz w:val="20"/>
                <w:szCs w:val="20"/>
              </w:rPr>
            </w:pPr>
            <w:r w:rsidRPr="000B7798">
              <w:rPr>
                <w:b/>
                <w:bCs/>
                <w:sz w:val="20"/>
                <w:szCs w:val="20"/>
              </w:rPr>
              <w:t>Option 1 plus</w:t>
            </w:r>
          </w:p>
          <w:p w14:paraId="5211B145" w14:textId="5D4819BD" w:rsidR="00616F24" w:rsidRDefault="00F00C42" w:rsidP="007D2B74">
            <w:pPr>
              <w:pStyle w:val="Numbered"/>
              <w:numPr>
                <w:ilvl w:val="0"/>
                <w:numId w:val="0"/>
              </w:numPr>
              <w:spacing w:before="0" w:after="120"/>
              <w:rPr>
                <w:sz w:val="20"/>
                <w:szCs w:val="20"/>
              </w:rPr>
            </w:pPr>
            <w:r>
              <w:rPr>
                <w:sz w:val="20"/>
                <w:szCs w:val="20"/>
              </w:rPr>
              <w:t>P</w:t>
            </w:r>
            <w:r w:rsidR="00E76664">
              <w:rPr>
                <w:sz w:val="20"/>
                <w:szCs w:val="20"/>
              </w:rPr>
              <w:t xml:space="preserve">rotection for </w:t>
            </w:r>
            <w:r w:rsidR="00B96823">
              <w:rPr>
                <w:sz w:val="20"/>
                <w:szCs w:val="20"/>
              </w:rPr>
              <w:t>w</w:t>
            </w:r>
            <w:r w:rsidR="00B96823" w:rsidRPr="006C6B52">
              <w:rPr>
                <w:sz w:val="20"/>
                <w:szCs w:val="20"/>
              </w:rPr>
              <w:t>histleblower</w:t>
            </w:r>
            <w:r w:rsidR="00B96823">
              <w:rPr>
                <w:sz w:val="20"/>
                <w:szCs w:val="20"/>
              </w:rPr>
              <w:t>s.</w:t>
            </w:r>
          </w:p>
          <w:p w14:paraId="2A8869E4" w14:textId="671C1AAC" w:rsidR="00F00C42" w:rsidRDefault="00F00C42" w:rsidP="007D2B74">
            <w:pPr>
              <w:pStyle w:val="Numbered"/>
              <w:numPr>
                <w:ilvl w:val="0"/>
                <w:numId w:val="0"/>
              </w:numPr>
              <w:spacing w:before="0" w:after="120"/>
              <w:rPr>
                <w:sz w:val="20"/>
                <w:szCs w:val="20"/>
              </w:rPr>
            </w:pPr>
            <w:r>
              <w:rPr>
                <w:sz w:val="20"/>
                <w:szCs w:val="20"/>
              </w:rPr>
              <w:t>R</w:t>
            </w:r>
            <w:r w:rsidRPr="006C6B52">
              <w:rPr>
                <w:sz w:val="20"/>
                <w:szCs w:val="20"/>
              </w:rPr>
              <w:t>ecognition that for Māori suppliers some taonga should be respected</w:t>
            </w:r>
            <w:r>
              <w:rPr>
                <w:sz w:val="20"/>
                <w:szCs w:val="20"/>
              </w:rPr>
              <w:t>.</w:t>
            </w:r>
          </w:p>
          <w:p w14:paraId="10FE70D3" w14:textId="28FA6F31" w:rsidR="00844C12" w:rsidRPr="006C6B52" w:rsidRDefault="00535119" w:rsidP="007D2B74">
            <w:pPr>
              <w:pStyle w:val="Numbered"/>
              <w:numPr>
                <w:ilvl w:val="0"/>
                <w:numId w:val="0"/>
              </w:numPr>
              <w:spacing w:before="0" w:after="120"/>
              <w:rPr>
                <w:sz w:val="20"/>
                <w:szCs w:val="20"/>
              </w:rPr>
            </w:pPr>
            <w:r>
              <w:rPr>
                <w:sz w:val="20"/>
                <w:szCs w:val="20"/>
              </w:rPr>
              <w:t xml:space="preserve">Prohibitions on </w:t>
            </w:r>
            <w:r w:rsidR="00892E66">
              <w:rPr>
                <w:sz w:val="20"/>
                <w:szCs w:val="20"/>
              </w:rPr>
              <w:t xml:space="preserve">designated </w:t>
            </w:r>
            <w:r>
              <w:rPr>
                <w:sz w:val="20"/>
                <w:szCs w:val="20"/>
              </w:rPr>
              <w:t>retailers threatening suppliers with</w:t>
            </w:r>
            <w:r w:rsidR="003E0B22" w:rsidRPr="006C6B52">
              <w:rPr>
                <w:sz w:val="20"/>
                <w:szCs w:val="20"/>
              </w:rPr>
              <w:t xml:space="preserve"> business disruption, </w:t>
            </w:r>
            <w:r>
              <w:rPr>
                <w:sz w:val="20"/>
                <w:szCs w:val="20"/>
              </w:rPr>
              <w:t>hindering any lawful association of suppliers</w:t>
            </w:r>
            <w:r w:rsidR="00E76664">
              <w:rPr>
                <w:sz w:val="20"/>
                <w:szCs w:val="20"/>
              </w:rPr>
              <w:t>, or any conduct</w:t>
            </w:r>
            <w:r w:rsidR="00844C12">
              <w:rPr>
                <w:sz w:val="20"/>
                <w:szCs w:val="20"/>
              </w:rPr>
              <w:t xml:space="preserve"> </w:t>
            </w:r>
            <w:r w:rsidR="00E76664">
              <w:rPr>
                <w:sz w:val="20"/>
                <w:szCs w:val="20"/>
              </w:rPr>
              <w:t>to</w:t>
            </w:r>
            <w:r w:rsidR="00844C12">
              <w:rPr>
                <w:sz w:val="20"/>
                <w:szCs w:val="20"/>
              </w:rPr>
              <w:t xml:space="preserve"> encourage suppliers to opt out of any wholesale access regime.</w:t>
            </w:r>
          </w:p>
        </w:tc>
        <w:tc>
          <w:tcPr>
            <w:tcW w:w="2977" w:type="dxa"/>
            <w:shd w:val="clear" w:color="auto" w:fill="B3D0D5"/>
          </w:tcPr>
          <w:p w14:paraId="14A30058" w14:textId="6E3704FC" w:rsidR="007D2B74" w:rsidRDefault="003E0B22" w:rsidP="007D2B74">
            <w:pPr>
              <w:pStyle w:val="Numbered"/>
              <w:numPr>
                <w:ilvl w:val="0"/>
                <w:numId w:val="0"/>
              </w:numPr>
              <w:spacing w:before="0" w:after="120"/>
              <w:rPr>
                <w:sz w:val="20"/>
                <w:szCs w:val="20"/>
              </w:rPr>
            </w:pPr>
            <w:r w:rsidRPr="00535119">
              <w:rPr>
                <w:b/>
                <w:bCs/>
                <w:sz w:val="20"/>
                <w:szCs w:val="20"/>
              </w:rPr>
              <w:t xml:space="preserve">Option 2 </w:t>
            </w:r>
            <w:r w:rsidR="008576C7" w:rsidRPr="00535119">
              <w:rPr>
                <w:b/>
                <w:bCs/>
                <w:sz w:val="20"/>
                <w:szCs w:val="20"/>
              </w:rPr>
              <w:t>plus</w:t>
            </w:r>
            <w:r w:rsidR="00892E66">
              <w:rPr>
                <w:sz w:val="20"/>
                <w:szCs w:val="20"/>
              </w:rPr>
              <w:t xml:space="preserve"> </w:t>
            </w:r>
          </w:p>
          <w:p w14:paraId="5228F6FE" w14:textId="57DB56EF" w:rsidR="008215C4" w:rsidRPr="006C6B52" w:rsidRDefault="008215C4" w:rsidP="007D2B74">
            <w:pPr>
              <w:pStyle w:val="Numbered"/>
              <w:numPr>
                <w:ilvl w:val="0"/>
                <w:numId w:val="0"/>
              </w:numPr>
              <w:spacing w:before="0" w:after="120"/>
              <w:rPr>
                <w:sz w:val="20"/>
                <w:szCs w:val="20"/>
              </w:rPr>
            </w:pPr>
            <w:r>
              <w:rPr>
                <w:sz w:val="20"/>
                <w:szCs w:val="20"/>
              </w:rPr>
              <w:t xml:space="preserve">Prohibit </w:t>
            </w:r>
            <w:r w:rsidR="00E76664">
              <w:rPr>
                <w:sz w:val="20"/>
                <w:szCs w:val="20"/>
              </w:rPr>
              <w:t>any conduct</w:t>
            </w:r>
            <w:r>
              <w:rPr>
                <w:sz w:val="20"/>
                <w:szCs w:val="20"/>
              </w:rPr>
              <w:t xml:space="preserve"> to encourage suppliers to opt out of any wholesale access regime.</w:t>
            </w:r>
          </w:p>
        </w:tc>
      </w:tr>
    </w:tbl>
    <w:p w14:paraId="773180E0" w14:textId="05480D1A" w:rsidR="00AC67AF" w:rsidRDefault="00AC67AF" w:rsidP="002F20E4">
      <w:pPr>
        <w:pStyle w:val="Heading2"/>
        <w:keepNext/>
        <w:tabs>
          <w:tab w:val="left" w:pos="567"/>
        </w:tabs>
      </w:pPr>
      <w:bookmarkStart w:id="164" w:name="_Toc104358667"/>
      <w:bookmarkStart w:id="165" w:name="_Toc107919647"/>
      <w:r>
        <w:t>6.</w:t>
      </w:r>
      <w:r w:rsidR="006E56CE">
        <w:t>6</w:t>
      </w:r>
      <w:r w:rsidR="002F20E4">
        <w:tab/>
      </w:r>
      <w:r>
        <w:t>Options analysis</w:t>
      </w:r>
      <w:bookmarkEnd w:id="164"/>
      <w:bookmarkEnd w:id="165"/>
    </w:p>
    <w:p w14:paraId="4179F5D5" w14:textId="4D1911E3" w:rsidR="000548C9" w:rsidRDefault="000548C9" w:rsidP="002F20E4">
      <w:pPr>
        <w:pStyle w:val="Numbered"/>
        <w:keepNext/>
      </w:pPr>
      <w:r>
        <w:t xml:space="preserve">The following </w:t>
      </w:r>
      <w:r w:rsidR="00AF3E9B">
        <w:t xml:space="preserve">three </w:t>
      </w:r>
      <w:r>
        <w:t xml:space="preserve">tables provide an overview of the matters considered in this chapter and how they </w:t>
      </w:r>
      <w:r w:rsidR="00AF3E9B">
        <w:t>would be</w:t>
      </w:r>
      <w:r>
        <w:t xml:space="preserve"> regulated </w:t>
      </w:r>
      <w:r w:rsidR="00AF3E9B">
        <w:t>under</w:t>
      </w:r>
      <w:r>
        <w:t xml:space="preserve"> the Code</w:t>
      </w:r>
      <w:r w:rsidR="00AF3E9B">
        <w:t xml:space="preserve"> for each option</w:t>
      </w:r>
      <w:r>
        <w:t xml:space="preserve">. These same options are then analysed against the criteria. </w:t>
      </w:r>
    </w:p>
    <w:p w14:paraId="55D01CE9" w14:textId="2BF2029E" w:rsidR="00F00C42" w:rsidRDefault="00F00C42">
      <w:r>
        <w:br w:type="page"/>
      </w:r>
    </w:p>
    <w:tbl>
      <w:tblPr>
        <w:tblStyle w:val="TableGrid"/>
        <w:tblW w:w="9214" w:type="dxa"/>
        <w:tblInd w:w="-5" w:type="dxa"/>
        <w:tblLayout w:type="fixed"/>
        <w:tblCellMar>
          <w:left w:w="57" w:type="dxa"/>
          <w:right w:w="57" w:type="dxa"/>
        </w:tblCellMar>
        <w:tblLook w:val="04A0" w:firstRow="1" w:lastRow="0" w:firstColumn="1" w:lastColumn="0" w:noHBand="0" w:noVBand="1"/>
      </w:tblPr>
      <w:tblGrid>
        <w:gridCol w:w="3119"/>
        <w:gridCol w:w="567"/>
        <w:gridCol w:w="708"/>
        <w:gridCol w:w="851"/>
        <w:gridCol w:w="3969"/>
      </w:tblGrid>
      <w:tr w:rsidR="000548C9" w14:paraId="220B3F7F" w14:textId="77777777" w:rsidTr="00435241">
        <w:tc>
          <w:tcPr>
            <w:tcW w:w="3119" w:type="dxa"/>
            <w:vMerge w:val="restart"/>
          </w:tcPr>
          <w:p w14:paraId="3C340A60" w14:textId="77777777" w:rsidR="000548C9" w:rsidRPr="00335395" w:rsidRDefault="000548C9" w:rsidP="00A3086C">
            <w:pPr>
              <w:pStyle w:val="Numbered"/>
              <w:numPr>
                <w:ilvl w:val="0"/>
                <w:numId w:val="0"/>
              </w:numPr>
              <w:spacing w:before="0" w:line="276" w:lineRule="auto"/>
              <w:rPr>
                <w:b/>
                <w:bCs/>
              </w:rPr>
            </w:pPr>
            <w:r w:rsidRPr="00335395">
              <w:rPr>
                <w:b/>
                <w:bCs/>
              </w:rPr>
              <w:lastRenderedPageBreak/>
              <w:t>Option 1 Principle-based Code</w:t>
            </w:r>
          </w:p>
        </w:tc>
        <w:tc>
          <w:tcPr>
            <w:tcW w:w="6095" w:type="dxa"/>
            <w:gridSpan w:val="4"/>
            <w:vAlign w:val="center"/>
          </w:tcPr>
          <w:p w14:paraId="337EC9AA" w14:textId="7D2FD827" w:rsidR="000548C9" w:rsidRPr="00A82B1F" w:rsidRDefault="008E27CD" w:rsidP="005509A4">
            <w:pPr>
              <w:pStyle w:val="Numbered"/>
              <w:numPr>
                <w:ilvl w:val="0"/>
                <w:numId w:val="0"/>
              </w:numPr>
              <w:spacing w:before="0"/>
              <w:jc w:val="center"/>
              <w:rPr>
                <w:b/>
                <w:bCs/>
              </w:rPr>
            </w:pPr>
            <w:r w:rsidRPr="00A82B1F">
              <w:rPr>
                <w:b/>
                <w:bCs/>
              </w:rPr>
              <w:t xml:space="preserve">How the </w:t>
            </w:r>
            <w:r>
              <w:rPr>
                <w:b/>
                <w:bCs/>
              </w:rPr>
              <w:t>option</w:t>
            </w:r>
            <w:r w:rsidRPr="00A82B1F">
              <w:rPr>
                <w:b/>
                <w:bCs/>
              </w:rPr>
              <w:t xml:space="preserve"> regulates conduct</w:t>
            </w:r>
          </w:p>
        </w:tc>
      </w:tr>
      <w:tr w:rsidR="000548C9" w14:paraId="1A408B72" w14:textId="77777777" w:rsidTr="00435241">
        <w:tc>
          <w:tcPr>
            <w:tcW w:w="3119" w:type="dxa"/>
            <w:vMerge/>
          </w:tcPr>
          <w:p w14:paraId="248FC294" w14:textId="77777777" w:rsidR="000548C9" w:rsidRPr="00A82B1F" w:rsidRDefault="000548C9" w:rsidP="005509A4">
            <w:pPr>
              <w:pStyle w:val="Numbered"/>
              <w:numPr>
                <w:ilvl w:val="0"/>
                <w:numId w:val="0"/>
              </w:numPr>
              <w:spacing w:before="0"/>
              <w:rPr>
                <w:b/>
                <w:bCs/>
              </w:rPr>
            </w:pPr>
          </w:p>
        </w:tc>
        <w:tc>
          <w:tcPr>
            <w:tcW w:w="567" w:type="dxa"/>
          </w:tcPr>
          <w:p w14:paraId="3A2880A2" w14:textId="77777777" w:rsidR="000548C9" w:rsidRPr="009614C3" w:rsidRDefault="000548C9" w:rsidP="005509A4">
            <w:pPr>
              <w:pStyle w:val="Numbered"/>
              <w:numPr>
                <w:ilvl w:val="0"/>
                <w:numId w:val="0"/>
              </w:numPr>
              <w:spacing w:before="0"/>
              <w:rPr>
                <w:sz w:val="20"/>
                <w:szCs w:val="20"/>
              </w:rPr>
            </w:pPr>
            <w:r w:rsidRPr="009614C3">
              <w:rPr>
                <w:sz w:val="20"/>
                <w:szCs w:val="20"/>
              </w:rPr>
              <w:t xml:space="preserve">N/A </w:t>
            </w:r>
          </w:p>
        </w:tc>
        <w:tc>
          <w:tcPr>
            <w:tcW w:w="708" w:type="dxa"/>
          </w:tcPr>
          <w:p w14:paraId="3EDB8AA9" w14:textId="3043D8C1" w:rsidR="000548C9" w:rsidRPr="009614C3" w:rsidRDefault="000548C9" w:rsidP="005509A4">
            <w:pPr>
              <w:pStyle w:val="Numbered"/>
              <w:numPr>
                <w:ilvl w:val="0"/>
                <w:numId w:val="0"/>
              </w:numPr>
              <w:spacing w:before="0"/>
              <w:rPr>
                <w:sz w:val="20"/>
                <w:szCs w:val="20"/>
              </w:rPr>
            </w:pPr>
            <w:r w:rsidRPr="009614C3">
              <w:rPr>
                <w:sz w:val="20"/>
                <w:szCs w:val="20"/>
              </w:rPr>
              <w:t>Limit</w:t>
            </w:r>
          </w:p>
        </w:tc>
        <w:tc>
          <w:tcPr>
            <w:tcW w:w="851" w:type="dxa"/>
          </w:tcPr>
          <w:p w14:paraId="07635E00" w14:textId="5D96DE48" w:rsidR="000548C9" w:rsidRPr="009614C3" w:rsidRDefault="000548C9" w:rsidP="005509A4">
            <w:pPr>
              <w:pStyle w:val="Numbered"/>
              <w:numPr>
                <w:ilvl w:val="0"/>
                <w:numId w:val="0"/>
              </w:numPr>
              <w:spacing w:before="0"/>
              <w:rPr>
                <w:sz w:val="20"/>
                <w:szCs w:val="20"/>
              </w:rPr>
            </w:pPr>
            <w:r w:rsidRPr="009614C3">
              <w:rPr>
                <w:sz w:val="20"/>
                <w:szCs w:val="20"/>
              </w:rPr>
              <w:t>Prohibit</w:t>
            </w:r>
          </w:p>
        </w:tc>
        <w:tc>
          <w:tcPr>
            <w:tcW w:w="3969" w:type="dxa"/>
          </w:tcPr>
          <w:p w14:paraId="0A19C8FF" w14:textId="77777777" w:rsidR="000548C9" w:rsidRPr="009614C3" w:rsidRDefault="000548C9" w:rsidP="005509A4">
            <w:pPr>
              <w:pStyle w:val="Numbered"/>
              <w:numPr>
                <w:ilvl w:val="0"/>
                <w:numId w:val="0"/>
              </w:numPr>
              <w:spacing w:before="0"/>
              <w:rPr>
                <w:sz w:val="20"/>
                <w:szCs w:val="20"/>
              </w:rPr>
            </w:pPr>
            <w:r w:rsidRPr="009614C3">
              <w:rPr>
                <w:sz w:val="20"/>
                <w:szCs w:val="20"/>
              </w:rPr>
              <w:t>Exceptions or conditions</w:t>
            </w:r>
          </w:p>
        </w:tc>
      </w:tr>
      <w:tr w:rsidR="00F00C42" w14:paraId="4950DD23" w14:textId="77777777" w:rsidTr="00435241">
        <w:tc>
          <w:tcPr>
            <w:tcW w:w="3119" w:type="dxa"/>
          </w:tcPr>
          <w:p w14:paraId="5C8EDE5F" w14:textId="77777777" w:rsidR="00F00C42" w:rsidRPr="000548C9" w:rsidRDefault="00F00C42" w:rsidP="005509A4">
            <w:pPr>
              <w:pStyle w:val="Numbered"/>
              <w:numPr>
                <w:ilvl w:val="0"/>
                <w:numId w:val="0"/>
              </w:numPr>
              <w:spacing w:before="0"/>
              <w:rPr>
                <w:sz w:val="20"/>
                <w:szCs w:val="20"/>
              </w:rPr>
            </w:pPr>
            <w:r w:rsidRPr="000548C9">
              <w:rPr>
                <w:sz w:val="20"/>
                <w:szCs w:val="20"/>
              </w:rPr>
              <w:t>Changes to supply chain processes</w:t>
            </w:r>
          </w:p>
        </w:tc>
        <w:tc>
          <w:tcPr>
            <w:tcW w:w="567" w:type="dxa"/>
          </w:tcPr>
          <w:p w14:paraId="6FF5DC1E" w14:textId="77777777" w:rsidR="00F00C42" w:rsidRPr="000548C9" w:rsidRDefault="00F00C42" w:rsidP="005509A4">
            <w:pPr>
              <w:pStyle w:val="Numbered"/>
              <w:numPr>
                <w:ilvl w:val="0"/>
                <w:numId w:val="0"/>
              </w:numPr>
              <w:spacing w:before="0"/>
              <w:rPr>
                <w:sz w:val="20"/>
                <w:szCs w:val="20"/>
              </w:rPr>
            </w:pPr>
          </w:p>
        </w:tc>
        <w:tc>
          <w:tcPr>
            <w:tcW w:w="708" w:type="dxa"/>
            <w:shd w:val="clear" w:color="auto" w:fill="FFC399" w:themeFill="accent5" w:themeFillTint="66"/>
          </w:tcPr>
          <w:p w14:paraId="460A6388" w14:textId="77777777" w:rsidR="00F00C42" w:rsidRPr="000548C9" w:rsidRDefault="00F00C42" w:rsidP="005509A4">
            <w:pPr>
              <w:pStyle w:val="Numbered"/>
              <w:numPr>
                <w:ilvl w:val="0"/>
                <w:numId w:val="0"/>
              </w:numPr>
              <w:spacing w:before="0"/>
              <w:rPr>
                <w:sz w:val="20"/>
                <w:szCs w:val="20"/>
              </w:rPr>
            </w:pPr>
          </w:p>
        </w:tc>
        <w:tc>
          <w:tcPr>
            <w:tcW w:w="851" w:type="dxa"/>
            <w:shd w:val="clear" w:color="auto" w:fill="auto"/>
          </w:tcPr>
          <w:p w14:paraId="17994355"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65ECD268" w14:textId="25D0FC0F" w:rsidR="00F00C42" w:rsidRPr="000548C9" w:rsidRDefault="00F00C42" w:rsidP="00F00C42">
            <w:pPr>
              <w:pStyle w:val="Numbered"/>
              <w:numPr>
                <w:ilvl w:val="0"/>
                <w:numId w:val="0"/>
              </w:numPr>
              <w:spacing w:before="0"/>
              <w:rPr>
                <w:sz w:val="20"/>
                <w:szCs w:val="20"/>
              </w:rPr>
            </w:pPr>
            <w:r w:rsidRPr="000548C9">
              <w:rPr>
                <w:sz w:val="20"/>
                <w:szCs w:val="20"/>
              </w:rPr>
              <w:t>Reasonable notice</w:t>
            </w:r>
            <w:r w:rsidR="00435241">
              <w:rPr>
                <w:sz w:val="20"/>
                <w:szCs w:val="20"/>
              </w:rPr>
              <w:t xml:space="preserve">, </w:t>
            </w:r>
            <w:r>
              <w:rPr>
                <w:sz w:val="20"/>
                <w:szCs w:val="20"/>
              </w:rPr>
              <w:t>c</w:t>
            </w:r>
            <w:r w:rsidRPr="000548C9">
              <w:rPr>
                <w:sz w:val="20"/>
                <w:szCs w:val="20"/>
              </w:rPr>
              <w:t>ompensation otherwise</w:t>
            </w:r>
            <w:r>
              <w:rPr>
                <w:sz w:val="20"/>
                <w:szCs w:val="20"/>
              </w:rPr>
              <w:t>.</w:t>
            </w:r>
          </w:p>
        </w:tc>
      </w:tr>
      <w:tr w:rsidR="00435241" w14:paraId="085DA601" w14:textId="77777777" w:rsidTr="00435241">
        <w:tc>
          <w:tcPr>
            <w:tcW w:w="3119" w:type="dxa"/>
          </w:tcPr>
          <w:p w14:paraId="4641BDE3" w14:textId="3E2F7CAE" w:rsidR="00435241" w:rsidRPr="000548C9" w:rsidRDefault="00435241" w:rsidP="00435241">
            <w:pPr>
              <w:pStyle w:val="Numbered"/>
              <w:numPr>
                <w:ilvl w:val="0"/>
                <w:numId w:val="0"/>
              </w:numPr>
              <w:spacing w:before="0"/>
              <w:rPr>
                <w:sz w:val="20"/>
                <w:szCs w:val="20"/>
              </w:rPr>
            </w:pPr>
            <w:r w:rsidRPr="000548C9">
              <w:rPr>
                <w:sz w:val="20"/>
                <w:szCs w:val="20"/>
              </w:rPr>
              <w:t xml:space="preserve">Pressure </w:t>
            </w:r>
            <w:r>
              <w:rPr>
                <w:sz w:val="20"/>
                <w:szCs w:val="20"/>
              </w:rPr>
              <w:t>re.</w:t>
            </w:r>
            <w:r w:rsidRPr="000548C9">
              <w:rPr>
                <w:sz w:val="20"/>
                <w:szCs w:val="20"/>
              </w:rPr>
              <w:t>logistics services</w:t>
            </w:r>
          </w:p>
        </w:tc>
        <w:tc>
          <w:tcPr>
            <w:tcW w:w="567" w:type="dxa"/>
            <w:shd w:val="clear" w:color="auto" w:fill="FFC399" w:themeFill="accent5" w:themeFillTint="66"/>
          </w:tcPr>
          <w:p w14:paraId="631E93D1" w14:textId="77777777" w:rsidR="00435241" w:rsidRPr="000548C9" w:rsidRDefault="00435241" w:rsidP="00435241">
            <w:pPr>
              <w:pStyle w:val="Numbered"/>
              <w:numPr>
                <w:ilvl w:val="0"/>
                <w:numId w:val="0"/>
              </w:numPr>
              <w:spacing w:before="0"/>
              <w:rPr>
                <w:sz w:val="20"/>
                <w:szCs w:val="20"/>
              </w:rPr>
            </w:pPr>
          </w:p>
        </w:tc>
        <w:tc>
          <w:tcPr>
            <w:tcW w:w="708" w:type="dxa"/>
            <w:shd w:val="clear" w:color="auto" w:fill="auto"/>
          </w:tcPr>
          <w:p w14:paraId="2719976A" w14:textId="77777777" w:rsidR="00435241" w:rsidRPr="000548C9" w:rsidRDefault="00435241" w:rsidP="00435241">
            <w:pPr>
              <w:pStyle w:val="Numbered"/>
              <w:numPr>
                <w:ilvl w:val="0"/>
                <w:numId w:val="0"/>
              </w:numPr>
              <w:spacing w:before="0"/>
              <w:rPr>
                <w:sz w:val="20"/>
                <w:szCs w:val="20"/>
              </w:rPr>
            </w:pPr>
          </w:p>
        </w:tc>
        <w:tc>
          <w:tcPr>
            <w:tcW w:w="851" w:type="dxa"/>
            <w:shd w:val="clear" w:color="auto" w:fill="auto"/>
          </w:tcPr>
          <w:p w14:paraId="1BD272DC" w14:textId="77777777" w:rsidR="00435241" w:rsidRPr="000548C9" w:rsidRDefault="00435241" w:rsidP="00435241">
            <w:pPr>
              <w:pStyle w:val="Numbered"/>
              <w:numPr>
                <w:ilvl w:val="0"/>
                <w:numId w:val="0"/>
              </w:numPr>
              <w:spacing w:before="0"/>
              <w:rPr>
                <w:sz w:val="20"/>
                <w:szCs w:val="20"/>
              </w:rPr>
            </w:pPr>
          </w:p>
        </w:tc>
        <w:tc>
          <w:tcPr>
            <w:tcW w:w="3969" w:type="dxa"/>
            <w:shd w:val="clear" w:color="auto" w:fill="auto"/>
          </w:tcPr>
          <w:p w14:paraId="738D21FC" w14:textId="77777777" w:rsidR="00435241" w:rsidRPr="000548C9" w:rsidRDefault="00435241" w:rsidP="00435241">
            <w:pPr>
              <w:pStyle w:val="Numbered"/>
              <w:numPr>
                <w:ilvl w:val="0"/>
                <w:numId w:val="0"/>
              </w:numPr>
              <w:spacing w:before="0"/>
              <w:rPr>
                <w:sz w:val="20"/>
                <w:szCs w:val="20"/>
              </w:rPr>
            </w:pPr>
          </w:p>
        </w:tc>
      </w:tr>
      <w:tr w:rsidR="00F00C42" w14:paraId="616C77C9" w14:textId="77777777" w:rsidTr="00435241">
        <w:tc>
          <w:tcPr>
            <w:tcW w:w="3119" w:type="dxa"/>
          </w:tcPr>
          <w:p w14:paraId="65D2B865" w14:textId="44FB1783" w:rsidR="00F00C42" w:rsidRPr="000548C9" w:rsidRDefault="00F00C42" w:rsidP="005509A4">
            <w:pPr>
              <w:pStyle w:val="Numbered"/>
              <w:numPr>
                <w:ilvl w:val="0"/>
                <w:numId w:val="0"/>
              </w:numPr>
              <w:spacing w:before="0"/>
              <w:rPr>
                <w:sz w:val="20"/>
                <w:szCs w:val="20"/>
              </w:rPr>
            </w:pPr>
            <w:r w:rsidRPr="000548C9">
              <w:rPr>
                <w:sz w:val="20"/>
                <w:szCs w:val="20"/>
              </w:rPr>
              <w:t>Fresh produce</w:t>
            </w:r>
          </w:p>
        </w:tc>
        <w:tc>
          <w:tcPr>
            <w:tcW w:w="567" w:type="dxa"/>
            <w:shd w:val="clear" w:color="auto" w:fill="FFC399" w:themeFill="accent5" w:themeFillTint="66"/>
          </w:tcPr>
          <w:p w14:paraId="5FF8FABE" w14:textId="77777777" w:rsidR="00F00C42" w:rsidRPr="000548C9" w:rsidRDefault="00F00C42" w:rsidP="005509A4">
            <w:pPr>
              <w:pStyle w:val="Numbered"/>
              <w:numPr>
                <w:ilvl w:val="0"/>
                <w:numId w:val="0"/>
              </w:numPr>
              <w:spacing w:before="0"/>
              <w:rPr>
                <w:sz w:val="20"/>
                <w:szCs w:val="20"/>
              </w:rPr>
            </w:pPr>
          </w:p>
        </w:tc>
        <w:tc>
          <w:tcPr>
            <w:tcW w:w="708" w:type="dxa"/>
            <w:shd w:val="clear" w:color="auto" w:fill="auto"/>
          </w:tcPr>
          <w:p w14:paraId="6DB8351F" w14:textId="77777777" w:rsidR="00F00C42" w:rsidRPr="000548C9" w:rsidRDefault="00F00C42" w:rsidP="005509A4">
            <w:pPr>
              <w:pStyle w:val="Numbered"/>
              <w:numPr>
                <w:ilvl w:val="0"/>
                <w:numId w:val="0"/>
              </w:numPr>
              <w:spacing w:before="0"/>
              <w:rPr>
                <w:sz w:val="20"/>
                <w:szCs w:val="20"/>
              </w:rPr>
            </w:pPr>
          </w:p>
        </w:tc>
        <w:tc>
          <w:tcPr>
            <w:tcW w:w="851" w:type="dxa"/>
            <w:shd w:val="clear" w:color="auto" w:fill="auto"/>
          </w:tcPr>
          <w:p w14:paraId="4EDAC7E5" w14:textId="77777777" w:rsidR="00F00C42" w:rsidRPr="000548C9" w:rsidRDefault="00F00C42" w:rsidP="005509A4">
            <w:pPr>
              <w:pStyle w:val="Numbered"/>
              <w:numPr>
                <w:ilvl w:val="0"/>
                <w:numId w:val="0"/>
              </w:numPr>
              <w:spacing w:before="0"/>
              <w:rPr>
                <w:sz w:val="20"/>
                <w:szCs w:val="20"/>
              </w:rPr>
            </w:pPr>
          </w:p>
        </w:tc>
        <w:tc>
          <w:tcPr>
            <w:tcW w:w="3969" w:type="dxa"/>
            <w:shd w:val="clear" w:color="auto" w:fill="auto"/>
          </w:tcPr>
          <w:p w14:paraId="3A3369BE" w14:textId="77777777" w:rsidR="00F00C42" w:rsidRPr="000548C9" w:rsidRDefault="00F00C42" w:rsidP="007D2B74">
            <w:pPr>
              <w:pStyle w:val="Numbered"/>
              <w:numPr>
                <w:ilvl w:val="0"/>
                <w:numId w:val="0"/>
              </w:numPr>
              <w:spacing w:before="0"/>
              <w:rPr>
                <w:sz w:val="20"/>
                <w:szCs w:val="20"/>
              </w:rPr>
            </w:pPr>
          </w:p>
        </w:tc>
      </w:tr>
      <w:tr w:rsidR="00F00C42" w14:paraId="5943889C" w14:textId="77777777" w:rsidTr="00435241">
        <w:trPr>
          <w:trHeight w:val="286"/>
        </w:trPr>
        <w:tc>
          <w:tcPr>
            <w:tcW w:w="3119" w:type="dxa"/>
          </w:tcPr>
          <w:p w14:paraId="39196881" w14:textId="77777777" w:rsidR="00F00C42" w:rsidRPr="000548C9" w:rsidRDefault="00F00C42" w:rsidP="005509A4">
            <w:pPr>
              <w:pStyle w:val="Numbered"/>
              <w:numPr>
                <w:ilvl w:val="0"/>
                <w:numId w:val="0"/>
              </w:numPr>
              <w:spacing w:before="0"/>
              <w:rPr>
                <w:sz w:val="20"/>
                <w:szCs w:val="20"/>
              </w:rPr>
            </w:pPr>
            <w:r w:rsidRPr="000548C9">
              <w:rPr>
                <w:sz w:val="20"/>
                <w:szCs w:val="20"/>
              </w:rPr>
              <w:t>Product ranging and shelf allocation</w:t>
            </w:r>
          </w:p>
        </w:tc>
        <w:tc>
          <w:tcPr>
            <w:tcW w:w="567" w:type="dxa"/>
          </w:tcPr>
          <w:p w14:paraId="1ECAEAB7" w14:textId="77777777" w:rsidR="00F00C42" w:rsidRPr="000548C9" w:rsidRDefault="00F00C42" w:rsidP="005509A4">
            <w:pPr>
              <w:pStyle w:val="Numbered"/>
              <w:numPr>
                <w:ilvl w:val="0"/>
                <w:numId w:val="0"/>
              </w:numPr>
              <w:spacing w:before="0"/>
              <w:rPr>
                <w:sz w:val="20"/>
                <w:szCs w:val="20"/>
              </w:rPr>
            </w:pPr>
          </w:p>
        </w:tc>
        <w:tc>
          <w:tcPr>
            <w:tcW w:w="708" w:type="dxa"/>
            <w:shd w:val="clear" w:color="auto" w:fill="FFC399" w:themeFill="accent5" w:themeFillTint="66"/>
          </w:tcPr>
          <w:p w14:paraId="699B3DC1" w14:textId="77777777" w:rsidR="00F00C42" w:rsidRPr="000548C9" w:rsidRDefault="00F00C42" w:rsidP="005509A4">
            <w:pPr>
              <w:pStyle w:val="Numbered"/>
              <w:numPr>
                <w:ilvl w:val="0"/>
                <w:numId w:val="0"/>
              </w:numPr>
              <w:spacing w:before="0"/>
              <w:rPr>
                <w:sz w:val="20"/>
                <w:szCs w:val="20"/>
              </w:rPr>
            </w:pPr>
          </w:p>
        </w:tc>
        <w:tc>
          <w:tcPr>
            <w:tcW w:w="851" w:type="dxa"/>
            <w:shd w:val="clear" w:color="auto" w:fill="auto"/>
          </w:tcPr>
          <w:p w14:paraId="039CF5B3"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378A8CAD" w14:textId="429650B6" w:rsidR="00F00C42" w:rsidRPr="000548C9" w:rsidRDefault="00F00C42" w:rsidP="007D2B74">
            <w:pPr>
              <w:pStyle w:val="Numbered"/>
              <w:numPr>
                <w:ilvl w:val="0"/>
                <w:numId w:val="0"/>
              </w:numPr>
              <w:spacing w:before="0"/>
              <w:rPr>
                <w:sz w:val="20"/>
                <w:szCs w:val="20"/>
              </w:rPr>
            </w:pPr>
            <w:r w:rsidRPr="000548C9">
              <w:rPr>
                <w:sz w:val="20"/>
                <w:szCs w:val="20"/>
              </w:rPr>
              <w:t>Require consistent treatment of all suppliers</w:t>
            </w:r>
            <w:r>
              <w:rPr>
                <w:sz w:val="20"/>
                <w:szCs w:val="20"/>
              </w:rPr>
              <w:t>.</w:t>
            </w:r>
          </w:p>
        </w:tc>
      </w:tr>
      <w:tr w:rsidR="00F00C42" w14:paraId="0A61C49B" w14:textId="77777777" w:rsidTr="00435241">
        <w:trPr>
          <w:trHeight w:val="70"/>
        </w:trPr>
        <w:tc>
          <w:tcPr>
            <w:tcW w:w="3119" w:type="dxa"/>
          </w:tcPr>
          <w:p w14:paraId="44A3471C" w14:textId="77777777" w:rsidR="00F00C42" w:rsidRPr="000548C9" w:rsidRDefault="00F00C42" w:rsidP="005509A4">
            <w:pPr>
              <w:pStyle w:val="Numbered"/>
              <w:numPr>
                <w:ilvl w:val="0"/>
                <w:numId w:val="0"/>
              </w:numPr>
              <w:spacing w:before="0"/>
              <w:rPr>
                <w:sz w:val="20"/>
                <w:szCs w:val="20"/>
              </w:rPr>
            </w:pPr>
            <w:r w:rsidRPr="000548C9">
              <w:rPr>
                <w:sz w:val="20"/>
                <w:szCs w:val="20"/>
              </w:rPr>
              <w:t>Range reviews</w:t>
            </w:r>
          </w:p>
        </w:tc>
        <w:tc>
          <w:tcPr>
            <w:tcW w:w="567" w:type="dxa"/>
            <w:shd w:val="clear" w:color="auto" w:fill="FFC399" w:themeFill="accent5" w:themeFillTint="66"/>
          </w:tcPr>
          <w:p w14:paraId="46EBE27A" w14:textId="77777777" w:rsidR="00F00C42" w:rsidRPr="000548C9" w:rsidRDefault="00F00C42" w:rsidP="005509A4">
            <w:pPr>
              <w:pStyle w:val="Numbered"/>
              <w:numPr>
                <w:ilvl w:val="0"/>
                <w:numId w:val="0"/>
              </w:numPr>
              <w:spacing w:before="0"/>
              <w:rPr>
                <w:sz w:val="20"/>
                <w:szCs w:val="20"/>
              </w:rPr>
            </w:pPr>
          </w:p>
        </w:tc>
        <w:tc>
          <w:tcPr>
            <w:tcW w:w="708" w:type="dxa"/>
          </w:tcPr>
          <w:p w14:paraId="625C2BF9" w14:textId="77777777" w:rsidR="00F00C42" w:rsidRPr="000548C9" w:rsidRDefault="00F00C42" w:rsidP="005509A4">
            <w:pPr>
              <w:pStyle w:val="Numbered"/>
              <w:numPr>
                <w:ilvl w:val="0"/>
                <w:numId w:val="0"/>
              </w:numPr>
              <w:spacing w:before="0"/>
              <w:rPr>
                <w:sz w:val="20"/>
                <w:szCs w:val="20"/>
              </w:rPr>
            </w:pPr>
          </w:p>
        </w:tc>
        <w:tc>
          <w:tcPr>
            <w:tcW w:w="851" w:type="dxa"/>
            <w:shd w:val="clear" w:color="auto" w:fill="auto"/>
          </w:tcPr>
          <w:p w14:paraId="050FDE81" w14:textId="77777777" w:rsidR="00F00C42" w:rsidRPr="000548C9" w:rsidRDefault="00F00C42" w:rsidP="005509A4">
            <w:pPr>
              <w:pStyle w:val="Numbered"/>
              <w:numPr>
                <w:ilvl w:val="0"/>
                <w:numId w:val="0"/>
              </w:numPr>
              <w:spacing w:before="0"/>
              <w:rPr>
                <w:sz w:val="20"/>
                <w:szCs w:val="20"/>
              </w:rPr>
            </w:pPr>
          </w:p>
        </w:tc>
        <w:tc>
          <w:tcPr>
            <w:tcW w:w="3969" w:type="dxa"/>
          </w:tcPr>
          <w:p w14:paraId="4CD7B5AE" w14:textId="77777777" w:rsidR="00F00C42" w:rsidRPr="000548C9" w:rsidRDefault="00F00C42" w:rsidP="007D2B74">
            <w:pPr>
              <w:pStyle w:val="Numbered"/>
              <w:numPr>
                <w:ilvl w:val="0"/>
                <w:numId w:val="0"/>
              </w:numPr>
              <w:spacing w:before="0"/>
              <w:rPr>
                <w:sz w:val="20"/>
                <w:szCs w:val="20"/>
              </w:rPr>
            </w:pPr>
          </w:p>
        </w:tc>
      </w:tr>
      <w:tr w:rsidR="00F00C42" w14:paraId="1B19237E" w14:textId="77777777" w:rsidTr="00435241">
        <w:trPr>
          <w:trHeight w:val="215"/>
        </w:trPr>
        <w:tc>
          <w:tcPr>
            <w:tcW w:w="3119" w:type="dxa"/>
          </w:tcPr>
          <w:p w14:paraId="5F834F2B" w14:textId="77777777" w:rsidR="00F00C42" w:rsidRPr="000548C9" w:rsidRDefault="00F00C42" w:rsidP="005509A4">
            <w:pPr>
              <w:pStyle w:val="Numbered"/>
              <w:numPr>
                <w:ilvl w:val="0"/>
                <w:numId w:val="0"/>
              </w:numPr>
              <w:spacing w:before="0"/>
              <w:rPr>
                <w:sz w:val="20"/>
                <w:szCs w:val="20"/>
              </w:rPr>
            </w:pPr>
            <w:r w:rsidRPr="000548C9">
              <w:rPr>
                <w:sz w:val="20"/>
                <w:szCs w:val="20"/>
              </w:rPr>
              <w:t xml:space="preserve">Delisting </w:t>
            </w:r>
          </w:p>
        </w:tc>
        <w:tc>
          <w:tcPr>
            <w:tcW w:w="567" w:type="dxa"/>
          </w:tcPr>
          <w:p w14:paraId="4B8116E3" w14:textId="77777777" w:rsidR="00F00C42" w:rsidRPr="000548C9" w:rsidRDefault="00F00C42" w:rsidP="005509A4">
            <w:pPr>
              <w:pStyle w:val="Numbered"/>
              <w:numPr>
                <w:ilvl w:val="0"/>
                <w:numId w:val="0"/>
              </w:numPr>
              <w:spacing w:before="0"/>
              <w:rPr>
                <w:sz w:val="20"/>
                <w:szCs w:val="20"/>
              </w:rPr>
            </w:pPr>
          </w:p>
        </w:tc>
        <w:tc>
          <w:tcPr>
            <w:tcW w:w="708" w:type="dxa"/>
            <w:shd w:val="clear" w:color="auto" w:fill="FFC399" w:themeFill="accent5" w:themeFillTint="66"/>
          </w:tcPr>
          <w:p w14:paraId="3257DC61" w14:textId="77777777" w:rsidR="00F00C42" w:rsidRPr="000548C9" w:rsidRDefault="00F00C42" w:rsidP="005509A4">
            <w:pPr>
              <w:pStyle w:val="Numbered"/>
              <w:numPr>
                <w:ilvl w:val="0"/>
                <w:numId w:val="0"/>
              </w:numPr>
              <w:spacing w:before="0"/>
              <w:rPr>
                <w:sz w:val="20"/>
                <w:szCs w:val="20"/>
              </w:rPr>
            </w:pPr>
          </w:p>
        </w:tc>
        <w:tc>
          <w:tcPr>
            <w:tcW w:w="851" w:type="dxa"/>
            <w:shd w:val="clear" w:color="auto" w:fill="auto"/>
          </w:tcPr>
          <w:p w14:paraId="6FAE4DE0"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3597C97A" w14:textId="60E31311" w:rsidR="00F00C42" w:rsidRPr="000548C9" w:rsidRDefault="00F00C42" w:rsidP="00435241">
            <w:pPr>
              <w:pStyle w:val="Numbered"/>
              <w:numPr>
                <w:ilvl w:val="0"/>
                <w:numId w:val="0"/>
              </w:numPr>
              <w:spacing w:before="0"/>
              <w:rPr>
                <w:sz w:val="20"/>
                <w:szCs w:val="20"/>
              </w:rPr>
            </w:pPr>
            <w:r>
              <w:rPr>
                <w:sz w:val="20"/>
                <w:szCs w:val="20"/>
              </w:rPr>
              <w:t>G</w:t>
            </w:r>
            <w:r w:rsidRPr="000548C9">
              <w:rPr>
                <w:sz w:val="20"/>
                <w:szCs w:val="20"/>
              </w:rPr>
              <w:t>enuine commercial reasons</w:t>
            </w:r>
            <w:r w:rsidR="00435241">
              <w:rPr>
                <w:sz w:val="20"/>
                <w:szCs w:val="20"/>
              </w:rPr>
              <w:t xml:space="preserve"> and w</w:t>
            </w:r>
            <w:r w:rsidRPr="000548C9">
              <w:rPr>
                <w:sz w:val="20"/>
                <w:szCs w:val="20"/>
              </w:rPr>
              <w:t>ritten notice with time to engage dispute resolution</w:t>
            </w:r>
            <w:r>
              <w:rPr>
                <w:sz w:val="20"/>
                <w:szCs w:val="20"/>
              </w:rPr>
              <w:t>.</w:t>
            </w:r>
          </w:p>
        </w:tc>
      </w:tr>
      <w:tr w:rsidR="00F00C42" w14:paraId="1D98D169" w14:textId="77777777" w:rsidTr="00435241">
        <w:trPr>
          <w:trHeight w:val="209"/>
        </w:trPr>
        <w:tc>
          <w:tcPr>
            <w:tcW w:w="3119" w:type="dxa"/>
          </w:tcPr>
          <w:p w14:paraId="179A4C6D" w14:textId="77777777" w:rsidR="00F00C42" w:rsidRPr="000548C9" w:rsidRDefault="00F00C42" w:rsidP="005509A4">
            <w:pPr>
              <w:pStyle w:val="Numbered"/>
              <w:numPr>
                <w:ilvl w:val="0"/>
                <w:numId w:val="0"/>
              </w:numPr>
              <w:spacing w:before="0"/>
              <w:rPr>
                <w:sz w:val="20"/>
                <w:szCs w:val="20"/>
              </w:rPr>
            </w:pPr>
            <w:r w:rsidRPr="000548C9">
              <w:rPr>
                <w:sz w:val="20"/>
                <w:szCs w:val="20"/>
              </w:rPr>
              <w:t>Confidential information, intellectual property</w:t>
            </w:r>
          </w:p>
        </w:tc>
        <w:tc>
          <w:tcPr>
            <w:tcW w:w="567" w:type="dxa"/>
          </w:tcPr>
          <w:p w14:paraId="1572AD78" w14:textId="77777777" w:rsidR="00F00C42" w:rsidRPr="000548C9" w:rsidRDefault="00F00C42" w:rsidP="005509A4">
            <w:pPr>
              <w:pStyle w:val="Numbered"/>
              <w:numPr>
                <w:ilvl w:val="0"/>
                <w:numId w:val="0"/>
              </w:numPr>
              <w:spacing w:before="0"/>
              <w:rPr>
                <w:sz w:val="20"/>
                <w:szCs w:val="20"/>
              </w:rPr>
            </w:pPr>
          </w:p>
        </w:tc>
        <w:tc>
          <w:tcPr>
            <w:tcW w:w="708" w:type="dxa"/>
          </w:tcPr>
          <w:p w14:paraId="6B758D16" w14:textId="77777777" w:rsidR="00F00C42" w:rsidRPr="000548C9" w:rsidRDefault="00F00C42" w:rsidP="005509A4">
            <w:pPr>
              <w:pStyle w:val="Numbered"/>
              <w:numPr>
                <w:ilvl w:val="0"/>
                <w:numId w:val="0"/>
              </w:numPr>
              <w:spacing w:before="0"/>
              <w:rPr>
                <w:sz w:val="20"/>
                <w:szCs w:val="20"/>
              </w:rPr>
            </w:pPr>
          </w:p>
        </w:tc>
        <w:tc>
          <w:tcPr>
            <w:tcW w:w="851" w:type="dxa"/>
            <w:shd w:val="clear" w:color="auto" w:fill="FFC399" w:themeFill="accent5" w:themeFillTint="66"/>
          </w:tcPr>
          <w:p w14:paraId="17B2838D"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366D63C2" w14:textId="1FCFA7D6" w:rsidR="00F00C42" w:rsidRPr="000548C9" w:rsidRDefault="00F00C42" w:rsidP="007D2B74">
            <w:pPr>
              <w:pStyle w:val="Numbered"/>
              <w:numPr>
                <w:ilvl w:val="0"/>
                <w:numId w:val="0"/>
              </w:numPr>
              <w:spacing w:before="0"/>
              <w:rPr>
                <w:sz w:val="20"/>
                <w:szCs w:val="20"/>
              </w:rPr>
            </w:pPr>
            <w:r>
              <w:rPr>
                <w:sz w:val="20"/>
                <w:szCs w:val="20"/>
              </w:rPr>
              <w:t>Must not hold in confidence and not use beyond intended purpose.</w:t>
            </w:r>
          </w:p>
        </w:tc>
      </w:tr>
      <w:tr w:rsidR="00F00C42" w14:paraId="037E616F" w14:textId="77777777" w:rsidTr="00435241">
        <w:trPr>
          <w:trHeight w:val="131"/>
        </w:trPr>
        <w:tc>
          <w:tcPr>
            <w:tcW w:w="3119" w:type="dxa"/>
          </w:tcPr>
          <w:p w14:paraId="2D63F89B" w14:textId="77777777" w:rsidR="00F00C42" w:rsidRPr="000548C9" w:rsidRDefault="00F00C42" w:rsidP="005509A4">
            <w:pPr>
              <w:pStyle w:val="Numbered"/>
              <w:numPr>
                <w:ilvl w:val="0"/>
                <w:numId w:val="0"/>
              </w:numPr>
              <w:spacing w:before="0"/>
              <w:rPr>
                <w:sz w:val="20"/>
                <w:szCs w:val="20"/>
              </w:rPr>
            </w:pPr>
            <w:r w:rsidRPr="000548C9">
              <w:rPr>
                <w:sz w:val="20"/>
                <w:szCs w:val="20"/>
              </w:rPr>
              <w:t>Business disruptions and freedom of association</w:t>
            </w:r>
          </w:p>
        </w:tc>
        <w:tc>
          <w:tcPr>
            <w:tcW w:w="567" w:type="dxa"/>
            <w:shd w:val="clear" w:color="auto" w:fill="FFC399" w:themeFill="accent5" w:themeFillTint="66"/>
          </w:tcPr>
          <w:p w14:paraId="6F4513B8" w14:textId="77777777" w:rsidR="00F00C42" w:rsidRPr="000548C9" w:rsidRDefault="00F00C42" w:rsidP="005509A4">
            <w:pPr>
              <w:pStyle w:val="Numbered"/>
              <w:numPr>
                <w:ilvl w:val="0"/>
                <w:numId w:val="0"/>
              </w:numPr>
              <w:spacing w:before="0"/>
              <w:rPr>
                <w:sz w:val="20"/>
                <w:szCs w:val="20"/>
              </w:rPr>
            </w:pPr>
          </w:p>
        </w:tc>
        <w:tc>
          <w:tcPr>
            <w:tcW w:w="708" w:type="dxa"/>
          </w:tcPr>
          <w:p w14:paraId="481269A3" w14:textId="77777777" w:rsidR="00F00C42" w:rsidRPr="000548C9" w:rsidRDefault="00F00C42" w:rsidP="005509A4">
            <w:pPr>
              <w:pStyle w:val="Numbered"/>
              <w:numPr>
                <w:ilvl w:val="0"/>
                <w:numId w:val="0"/>
              </w:numPr>
              <w:spacing w:before="0"/>
              <w:rPr>
                <w:sz w:val="20"/>
                <w:szCs w:val="20"/>
              </w:rPr>
            </w:pPr>
          </w:p>
        </w:tc>
        <w:tc>
          <w:tcPr>
            <w:tcW w:w="851" w:type="dxa"/>
            <w:shd w:val="clear" w:color="auto" w:fill="auto"/>
          </w:tcPr>
          <w:p w14:paraId="056B6C5C" w14:textId="77777777" w:rsidR="00F00C42" w:rsidRPr="000548C9" w:rsidRDefault="00F00C42" w:rsidP="005509A4">
            <w:pPr>
              <w:pStyle w:val="Numbered"/>
              <w:numPr>
                <w:ilvl w:val="0"/>
                <w:numId w:val="0"/>
              </w:numPr>
              <w:spacing w:before="0"/>
              <w:rPr>
                <w:sz w:val="20"/>
                <w:szCs w:val="20"/>
              </w:rPr>
            </w:pPr>
          </w:p>
        </w:tc>
        <w:tc>
          <w:tcPr>
            <w:tcW w:w="3969" w:type="dxa"/>
          </w:tcPr>
          <w:p w14:paraId="0528A63F" w14:textId="77777777" w:rsidR="00F00C42" w:rsidRPr="000548C9" w:rsidRDefault="00F00C42" w:rsidP="005509A4">
            <w:pPr>
              <w:pStyle w:val="Numbered"/>
              <w:numPr>
                <w:ilvl w:val="0"/>
                <w:numId w:val="0"/>
              </w:numPr>
              <w:spacing w:before="0"/>
              <w:rPr>
                <w:sz w:val="20"/>
                <w:szCs w:val="20"/>
              </w:rPr>
            </w:pPr>
          </w:p>
        </w:tc>
      </w:tr>
      <w:tr w:rsidR="00F00C42" w14:paraId="78439969" w14:textId="77777777" w:rsidTr="00435241">
        <w:trPr>
          <w:trHeight w:val="70"/>
        </w:trPr>
        <w:tc>
          <w:tcPr>
            <w:tcW w:w="3119" w:type="dxa"/>
          </w:tcPr>
          <w:p w14:paraId="38C4859B" w14:textId="0183F706" w:rsidR="00F00C42" w:rsidRPr="000548C9" w:rsidRDefault="00435241" w:rsidP="005509A4">
            <w:pPr>
              <w:pStyle w:val="Numbered"/>
              <w:numPr>
                <w:ilvl w:val="0"/>
                <w:numId w:val="0"/>
              </w:numPr>
              <w:spacing w:before="0"/>
              <w:rPr>
                <w:sz w:val="20"/>
                <w:szCs w:val="20"/>
              </w:rPr>
            </w:pPr>
            <w:r w:rsidRPr="000548C9">
              <w:rPr>
                <w:sz w:val="20"/>
                <w:szCs w:val="20"/>
              </w:rPr>
              <w:t>Whistle-blower</w:t>
            </w:r>
            <w:r w:rsidR="00F00C42" w:rsidRPr="000548C9">
              <w:rPr>
                <w:sz w:val="20"/>
                <w:szCs w:val="20"/>
              </w:rPr>
              <w:t xml:space="preserve"> protections</w:t>
            </w:r>
          </w:p>
        </w:tc>
        <w:tc>
          <w:tcPr>
            <w:tcW w:w="567" w:type="dxa"/>
            <w:shd w:val="clear" w:color="auto" w:fill="FFC399" w:themeFill="accent5" w:themeFillTint="66"/>
          </w:tcPr>
          <w:p w14:paraId="66465197" w14:textId="77777777" w:rsidR="00F00C42" w:rsidRPr="000548C9" w:rsidRDefault="00F00C42" w:rsidP="005509A4">
            <w:pPr>
              <w:pStyle w:val="Numbered"/>
              <w:numPr>
                <w:ilvl w:val="0"/>
                <w:numId w:val="0"/>
              </w:numPr>
              <w:spacing w:before="0"/>
              <w:rPr>
                <w:sz w:val="20"/>
                <w:szCs w:val="20"/>
              </w:rPr>
            </w:pPr>
          </w:p>
        </w:tc>
        <w:tc>
          <w:tcPr>
            <w:tcW w:w="708" w:type="dxa"/>
          </w:tcPr>
          <w:p w14:paraId="32B4F63B" w14:textId="77777777" w:rsidR="00F00C42" w:rsidRPr="000548C9" w:rsidRDefault="00F00C42" w:rsidP="005509A4">
            <w:pPr>
              <w:pStyle w:val="Numbered"/>
              <w:numPr>
                <w:ilvl w:val="0"/>
                <w:numId w:val="0"/>
              </w:numPr>
              <w:spacing w:before="0"/>
              <w:rPr>
                <w:sz w:val="20"/>
                <w:szCs w:val="20"/>
              </w:rPr>
            </w:pPr>
          </w:p>
        </w:tc>
        <w:tc>
          <w:tcPr>
            <w:tcW w:w="851" w:type="dxa"/>
            <w:shd w:val="clear" w:color="auto" w:fill="auto"/>
          </w:tcPr>
          <w:p w14:paraId="6357103F" w14:textId="77777777" w:rsidR="00F00C42" w:rsidRPr="000548C9" w:rsidRDefault="00F00C42" w:rsidP="005509A4">
            <w:pPr>
              <w:pStyle w:val="Numbered"/>
              <w:numPr>
                <w:ilvl w:val="0"/>
                <w:numId w:val="0"/>
              </w:numPr>
              <w:spacing w:before="0"/>
              <w:rPr>
                <w:sz w:val="20"/>
                <w:szCs w:val="20"/>
              </w:rPr>
            </w:pPr>
          </w:p>
        </w:tc>
        <w:tc>
          <w:tcPr>
            <w:tcW w:w="3969" w:type="dxa"/>
          </w:tcPr>
          <w:p w14:paraId="1E17206C" w14:textId="77777777" w:rsidR="00F00C42" w:rsidRPr="000548C9" w:rsidRDefault="00F00C42" w:rsidP="005509A4">
            <w:pPr>
              <w:pStyle w:val="Numbered"/>
              <w:numPr>
                <w:ilvl w:val="0"/>
                <w:numId w:val="0"/>
              </w:numPr>
              <w:spacing w:before="0"/>
              <w:rPr>
                <w:sz w:val="20"/>
                <w:szCs w:val="20"/>
              </w:rPr>
            </w:pPr>
          </w:p>
        </w:tc>
      </w:tr>
    </w:tbl>
    <w:p w14:paraId="5B3F3AC7" w14:textId="024D37FB" w:rsidR="009614C3" w:rsidRPr="00112B34" w:rsidRDefault="009614C3" w:rsidP="008E27CD">
      <w:pPr>
        <w:spacing w:after="0"/>
      </w:pPr>
    </w:p>
    <w:tbl>
      <w:tblPr>
        <w:tblStyle w:val="TableGrid"/>
        <w:tblW w:w="9214" w:type="dxa"/>
        <w:tblInd w:w="-5" w:type="dxa"/>
        <w:tblLayout w:type="fixed"/>
        <w:tblCellMar>
          <w:left w:w="57" w:type="dxa"/>
          <w:right w:w="57" w:type="dxa"/>
        </w:tblCellMar>
        <w:tblLook w:val="04A0" w:firstRow="1" w:lastRow="0" w:firstColumn="1" w:lastColumn="0" w:noHBand="0" w:noVBand="1"/>
      </w:tblPr>
      <w:tblGrid>
        <w:gridCol w:w="3119"/>
        <w:gridCol w:w="567"/>
        <w:gridCol w:w="709"/>
        <w:gridCol w:w="850"/>
        <w:gridCol w:w="3969"/>
      </w:tblGrid>
      <w:tr w:rsidR="000548C9" w14:paraId="0B58763C" w14:textId="77777777" w:rsidTr="00435241">
        <w:tc>
          <w:tcPr>
            <w:tcW w:w="3119" w:type="dxa"/>
            <w:vMerge w:val="restart"/>
          </w:tcPr>
          <w:p w14:paraId="5836A04D" w14:textId="7B99214C" w:rsidR="000548C9" w:rsidRPr="00335395" w:rsidRDefault="000548C9" w:rsidP="000548C9">
            <w:pPr>
              <w:pStyle w:val="Numbered"/>
              <w:numPr>
                <w:ilvl w:val="0"/>
                <w:numId w:val="0"/>
              </w:numPr>
              <w:spacing w:before="0"/>
              <w:rPr>
                <w:b/>
                <w:bCs/>
              </w:rPr>
            </w:pPr>
            <w:r w:rsidRPr="00D3390A">
              <w:rPr>
                <w:b/>
                <w:bCs/>
              </w:rPr>
              <w:t xml:space="preserve">Option 2 </w:t>
            </w:r>
            <w:r w:rsidR="00D3390A" w:rsidRPr="00892E66">
              <w:rPr>
                <w:b/>
                <w:bCs/>
              </w:rPr>
              <w:t>Prescriptive Code</w:t>
            </w:r>
          </w:p>
        </w:tc>
        <w:tc>
          <w:tcPr>
            <w:tcW w:w="6095" w:type="dxa"/>
            <w:gridSpan w:val="4"/>
            <w:vAlign w:val="center"/>
          </w:tcPr>
          <w:p w14:paraId="42B09532" w14:textId="7F1B0023" w:rsidR="000548C9" w:rsidRPr="00A82B1F" w:rsidRDefault="008E27CD" w:rsidP="005509A4">
            <w:pPr>
              <w:pStyle w:val="Numbered"/>
              <w:numPr>
                <w:ilvl w:val="0"/>
                <w:numId w:val="0"/>
              </w:numPr>
              <w:spacing w:before="0"/>
              <w:jc w:val="center"/>
              <w:rPr>
                <w:b/>
                <w:bCs/>
              </w:rPr>
            </w:pPr>
            <w:r w:rsidRPr="00A82B1F">
              <w:rPr>
                <w:b/>
                <w:bCs/>
              </w:rPr>
              <w:t xml:space="preserve">How the </w:t>
            </w:r>
            <w:r>
              <w:rPr>
                <w:b/>
                <w:bCs/>
              </w:rPr>
              <w:t>option</w:t>
            </w:r>
            <w:r w:rsidRPr="00A82B1F">
              <w:rPr>
                <w:b/>
                <w:bCs/>
              </w:rPr>
              <w:t xml:space="preserve"> regulates conduct</w:t>
            </w:r>
          </w:p>
        </w:tc>
      </w:tr>
      <w:tr w:rsidR="000548C9" w14:paraId="77962D63" w14:textId="77777777" w:rsidTr="00435241">
        <w:trPr>
          <w:trHeight w:val="131"/>
        </w:trPr>
        <w:tc>
          <w:tcPr>
            <w:tcW w:w="3119" w:type="dxa"/>
            <w:vMerge/>
          </w:tcPr>
          <w:p w14:paraId="5BBC91D2" w14:textId="77777777" w:rsidR="000548C9" w:rsidRPr="00A82B1F" w:rsidRDefault="000548C9" w:rsidP="005509A4">
            <w:pPr>
              <w:pStyle w:val="Numbered"/>
              <w:numPr>
                <w:ilvl w:val="0"/>
                <w:numId w:val="0"/>
              </w:numPr>
              <w:spacing w:before="0"/>
              <w:rPr>
                <w:b/>
                <w:bCs/>
              </w:rPr>
            </w:pPr>
          </w:p>
        </w:tc>
        <w:tc>
          <w:tcPr>
            <w:tcW w:w="567" w:type="dxa"/>
          </w:tcPr>
          <w:p w14:paraId="6C32FDB4" w14:textId="77777777" w:rsidR="000548C9" w:rsidRPr="009614C3" w:rsidRDefault="000548C9" w:rsidP="005509A4">
            <w:pPr>
              <w:pStyle w:val="Numbered"/>
              <w:numPr>
                <w:ilvl w:val="0"/>
                <w:numId w:val="0"/>
              </w:numPr>
              <w:spacing w:before="0"/>
              <w:rPr>
                <w:sz w:val="20"/>
                <w:szCs w:val="20"/>
              </w:rPr>
            </w:pPr>
            <w:r w:rsidRPr="009614C3">
              <w:rPr>
                <w:sz w:val="20"/>
                <w:szCs w:val="20"/>
              </w:rPr>
              <w:t xml:space="preserve">N/A </w:t>
            </w:r>
          </w:p>
        </w:tc>
        <w:tc>
          <w:tcPr>
            <w:tcW w:w="709" w:type="dxa"/>
          </w:tcPr>
          <w:p w14:paraId="7B3BC91D" w14:textId="0F1397BB" w:rsidR="000548C9" w:rsidRPr="009614C3" w:rsidRDefault="000548C9" w:rsidP="005509A4">
            <w:pPr>
              <w:pStyle w:val="Numbered"/>
              <w:numPr>
                <w:ilvl w:val="0"/>
                <w:numId w:val="0"/>
              </w:numPr>
              <w:spacing w:before="0"/>
              <w:rPr>
                <w:sz w:val="20"/>
                <w:szCs w:val="20"/>
              </w:rPr>
            </w:pPr>
            <w:r w:rsidRPr="009614C3">
              <w:rPr>
                <w:sz w:val="20"/>
                <w:szCs w:val="20"/>
              </w:rPr>
              <w:t xml:space="preserve">Limit </w:t>
            </w:r>
          </w:p>
        </w:tc>
        <w:tc>
          <w:tcPr>
            <w:tcW w:w="850" w:type="dxa"/>
          </w:tcPr>
          <w:p w14:paraId="3F9F5EF0" w14:textId="57D1B476" w:rsidR="000548C9" w:rsidRPr="009614C3" w:rsidRDefault="000548C9" w:rsidP="005509A4">
            <w:pPr>
              <w:pStyle w:val="Numbered"/>
              <w:numPr>
                <w:ilvl w:val="0"/>
                <w:numId w:val="0"/>
              </w:numPr>
              <w:spacing w:before="0"/>
              <w:rPr>
                <w:sz w:val="20"/>
                <w:szCs w:val="20"/>
              </w:rPr>
            </w:pPr>
            <w:r w:rsidRPr="009614C3">
              <w:rPr>
                <w:sz w:val="20"/>
                <w:szCs w:val="20"/>
              </w:rPr>
              <w:t>Prohibit</w:t>
            </w:r>
          </w:p>
        </w:tc>
        <w:tc>
          <w:tcPr>
            <w:tcW w:w="3969" w:type="dxa"/>
          </w:tcPr>
          <w:p w14:paraId="6009EB56" w14:textId="77777777" w:rsidR="000548C9" w:rsidRPr="009614C3" w:rsidRDefault="000548C9" w:rsidP="005509A4">
            <w:pPr>
              <w:pStyle w:val="Numbered"/>
              <w:numPr>
                <w:ilvl w:val="0"/>
                <w:numId w:val="0"/>
              </w:numPr>
              <w:spacing w:before="0"/>
              <w:rPr>
                <w:sz w:val="20"/>
                <w:szCs w:val="20"/>
              </w:rPr>
            </w:pPr>
            <w:r w:rsidRPr="009614C3">
              <w:rPr>
                <w:sz w:val="20"/>
                <w:szCs w:val="20"/>
              </w:rPr>
              <w:t>Exceptions or conditions</w:t>
            </w:r>
          </w:p>
        </w:tc>
      </w:tr>
      <w:tr w:rsidR="00F00C42" w14:paraId="0D06F4AB" w14:textId="77777777" w:rsidTr="00435241">
        <w:tc>
          <w:tcPr>
            <w:tcW w:w="3119" w:type="dxa"/>
          </w:tcPr>
          <w:p w14:paraId="6BA0A72E" w14:textId="77777777" w:rsidR="00F00C42" w:rsidRPr="000548C9" w:rsidRDefault="00F00C42" w:rsidP="005509A4">
            <w:pPr>
              <w:pStyle w:val="Numbered"/>
              <w:numPr>
                <w:ilvl w:val="0"/>
                <w:numId w:val="0"/>
              </w:numPr>
              <w:spacing w:before="0"/>
              <w:rPr>
                <w:sz w:val="20"/>
                <w:szCs w:val="20"/>
              </w:rPr>
            </w:pPr>
            <w:r w:rsidRPr="000548C9">
              <w:rPr>
                <w:sz w:val="20"/>
                <w:szCs w:val="20"/>
              </w:rPr>
              <w:t>Changes to supply chain processes</w:t>
            </w:r>
          </w:p>
        </w:tc>
        <w:tc>
          <w:tcPr>
            <w:tcW w:w="567" w:type="dxa"/>
          </w:tcPr>
          <w:p w14:paraId="0D3A6EB9" w14:textId="77777777" w:rsidR="00F00C42" w:rsidRPr="000548C9" w:rsidRDefault="00F00C42" w:rsidP="005509A4">
            <w:pPr>
              <w:pStyle w:val="Numbered"/>
              <w:numPr>
                <w:ilvl w:val="0"/>
                <w:numId w:val="0"/>
              </w:numPr>
              <w:spacing w:before="0"/>
              <w:rPr>
                <w:sz w:val="20"/>
                <w:szCs w:val="20"/>
              </w:rPr>
            </w:pPr>
          </w:p>
        </w:tc>
        <w:tc>
          <w:tcPr>
            <w:tcW w:w="709" w:type="dxa"/>
            <w:shd w:val="clear" w:color="auto" w:fill="auto"/>
          </w:tcPr>
          <w:p w14:paraId="15B66EF9" w14:textId="77777777" w:rsidR="00F00C42" w:rsidRPr="000548C9" w:rsidRDefault="00F00C42" w:rsidP="005509A4">
            <w:pPr>
              <w:pStyle w:val="Numbered"/>
              <w:numPr>
                <w:ilvl w:val="0"/>
                <w:numId w:val="0"/>
              </w:numPr>
              <w:spacing w:before="0"/>
              <w:rPr>
                <w:sz w:val="20"/>
                <w:szCs w:val="20"/>
              </w:rPr>
            </w:pPr>
          </w:p>
        </w:tc>
        <w:tc>
          <w:tcPr>
            <w:tcW w:w="850" w:type="dxa"/>
            <w:shd w:val="clear" w:color="auto" w:fill="FFC399" w:themeFill="accent5" w:themeFillTint="66"/>
          </w:tcPr>
          <w:p w14:paraId="12CC100A"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4B22B1AC" w14:textId="013F0AD0" w:rsidR="00F00C42" w:rsidRPr="000548C9" w:rsidRDefault="00F00C42" w:rsidP="00435241">
            <w:pPr>
              <w:pStyle w:val="Numbered"/>
              <w:numPr>
                <w:ilvl w:val="0"/>
                <w:numId w:val="0"/>
              </w:numPr>
              <w:spacing w:before="0"/>
              <w:rPr>
                <w:sz w:val="20"/>
                <w:szCs w:val="20"/>
              </w:rPr>
            </w:pPr>
            <w:r w:rsidRPr="000548C9">
              <w:rPr>
                <w:sz w:val="20"/>
                <w:szCs w:val="20"/>
              </w:rPr>
              <w:t>In supply agreement</w:t>
            </w:r>
            <w:r w:rsidR="00435241">
              <w:rPr>
                <w:sz w:val="20"/>
                <w:szCs w:val="20"/>
              </w:rPr>
              <w:t>, r</w:t>
            </w:r>
            <w:r w:rsidRPr="000548C9">
              <w:rPr>
                <w:sz w:val="20"/>
                <w:szCs w:val="20"/>
              </w:rPr>
              <w:t>easonable in circumstances</w:t>
            </w:r>
            <w:r w:rsidR="00435241">
              <w:rPr>
                <w:sz w:val="20"/>
                <w:szCs w:val="20"/>
              </w:rPr>
              <w:t xml:space="preserve"> with r</w:t>
            </w:r>
            <w:r w:rsidRPr="000548C9">
              <w:rPr>
                <w:sz w:val="20"/>
                <w:szCs w:val="20"/>
              </w:rPr>
              <w:t>easonable notice</w:t>
            </w:r>
            <w:r w:rsidR="00435241">
              <w:rPr>
                <w:sz w:val="20"/>
                <w:szCs w:val="20"/>
              </w:rPr>
              <w:t xml:space="preserve"> and c</w:t>
            </w:r>
            <w:r w:rsidRPr="000548C9">
              <w:rPr>
                <w:sz w:val="20"/>
                <w:szCs w:val="20"/>
              </w:rPr>
              <w:t>ompensation otherwise</w:t>
            </w:r>
            <w:r>
              <w:rPr>
                <w:sz w:val="20"/>
                <w:szCs w:val="20"/>
              </w:rPr>
              <w:t>.</w:t>
            </w:r>
          </w:p>
        </w:tc>
      </w:tr>
      <w:tr w:rsidR="00F00C42" w14:paraId="3F3E74AE" w14:textId="77777777" w:rsidTr="00435241">
        <w:tc>
          <w:tcPr>
            <w:tcW w:w="3119" w:type="dxa"/>
          </w:tcPr>
          <w:p w14:paraId="145CB354" w14:textId="4222EE48" w:rsidR="00F00C42" w:rsidRPr="000548C9" w:rsidRDefault="00F00C42" w:rsidP="005509A4">
            <w:pPr>
              <w:pStyle w:val="Numbered"/>
              <w:numPr>
                <w:ilvl w:val="0"/>
                <w:numId w:val="0"/>
              </w:numPr>
              <w:spacing w:before="0"/>
              <w:rPr>
                <w:sz w:val="20"/>
                <w:szCs w:val="20"/>
              </w:rPr>
            </w:pPr>
            <w:r w:rsidRPr="000548C9">
              <w:rPr>
                <w:sz w:val="20"/>
                <w:szCs w:val="20"/>
              </w:rPr>
              <w:t xml:space="preserve">Pressure </w:t>
            </w:r>
            <w:r w:rsidR="00435241">
              <w:rPr>
                <w:sz w:val="20"/>
                <w:szCs w:val="20"/>
              </w:rPr>
              <w:t>re.</w:t>
            </w:r>
            <w:r w:rsidRPr="000548C9">
              <w:rPr>
                <w:sz w:val="20"/>
                <w:szCs w:val="20"/>
              </w:rPr>
              <w:t>logistics services</w:t>
            </w:r>
          </w:p>
        </w:tc>
        <w:tc>
          <w:tcPr>
            <w:tcW w:w="567" w:type="dxa"/>
            <w:shd w:val="clear" w:color="auto" w:fill="FFC399" w:themeFill="accent5" w:themeFillTint="66"/>
          </w:tcPr>
          <w:p w14:paraId="43586A18" w14:textId="77777777" w:rsidR="00F00C42" w:rsidRPr="000548C9" w:rsidRDefault="00F00C42" w:rsidP="005509A4">
            <w:pPr>
              <w:pStyle w:val="Numbered"/>
              <w:numPr>
                <w:ilvl w:val="0"/>
                <w:numId w:val="0"/>
              </w:numPr>
              <w:spacing w:before="0"/>
              <w:rPr>
                <w:sz w:val="20"/>
                <w:szCs w:val="20"/>
              </w:rPr>
            </w:pPr>
          </w:p>
        </w:tc>
        <w:tc>
          <w:tcPr>
            <w:tcW w:w="709" w:type="dxa"/>
            <w:shd w:val="clear" w:color="auto" w:fill="auto"/>
          </w:tcPr>
          <w:p w14:paraId="31EAE69F" w14:textId="77777777" w:rsidR="00F00C42" w:rsidRPr="000548C9" w:rsidRDefault="00F00C42" w:rsidP="005509A4">
            <w:pPr>
              <w:pStyle w:val="Numbered"/>
              <w:numPr>
                <w:ilvl w:val="0"/>
                <w:numId w:val="0"/>
              </w:numPr>
              <w:spacing w:before="0"/>
              <w:rPr>
                <w:sz w:val="20"/>
                <w:szCs w:val="20"/>
              </w:rPr>
            </w:pPr>
          </w:p>
        </w:tc>
        <w:tc>
          <w:tcPr>
            <w:tcW w:w="850" w:type="dxa"/>
            <w:shd w:val="clear" w:color="auto" w:fill="auto"/>
          </w:tcPr>
          <w:p w14:paraId="1B9E3BAE" w14:textId="77777777" w:rsidR="00F00C42" w:rsidRPr="000548C9" w:rsidRDefault="00F00C42" w:rsidP="005509A4">
            <w:pPr>
              <w:pStyle w:val="Numbered"/>
              <w:numPr>
                <w:ilvl w:val="0"/>
                <w:numId w:val="0"/>
              </w:numPr>
              <w:spacing w:before="0"/>
              <w:rPr>
                <w:sz w:val="20"/>
                <w:szCs w:val="20"/>
              </w:rPr>
            </w:pPr>
          </w:p>
        </w:tc>
        <w:tc>
          <w:tcPr>
            <w:tcW w:w="3969" w:type="dxa"/>
            <w:shd w:val="clear" w:color="auto" w:fill="auto"/>
          </w:tcPr>
          <w:p w14:paraId="2064347D" w14:textId="77777777" w:rsidR="00F00C42" w:rsidRPr="000548C9" w:rsidRDefault="00F00C42" w:rsidP="007D2B74">
            <w:pPr>
              <w:pStyle w:val="Numbered"/>
              <w:numPr>
                <w:ilvl w:val="0"/>
                <w:numId w:val="0"/>
              </w:numPr>
              <w:spacing w:before="0"/>
              <w:rPr>
                <w:sz w:val="20"/>
                <w:szCs w:val="20"/>
              </w:rPr>
            </w:pPr>
          </w:p>
        </w:tc>
      </w:tr>
      <w:tr w:rsidR="00F00C42" w14:paraId="03C04403" w14:textId="77777777" w:rsidTr="00435241">
        <w:tc>
          <w:tcPr>
            <w:tcW w:w="3119" w:type="dxa"/>
          </w:tcPr>
          <w:p w14:paraId="0D5EC4CC" w14:textId="1268C2DB" w:rsidR="00F00C42" w:rsidRPr="000548C9" w:rsidRDefault="00F00C42" w:rsidP="005509A4">
            <w:pPr>
              <w:pStyle w:val="Numbered"/>
              <w:numPr>
                <w:ilvl w:val="0"/>
                <w:numId w:val="0"/>
              </w:numPr>
              <w:spacing w:before="0"/>
              <w:rPr>
                <w:sz w:val="20"/>
                <w:szCs w:val="20"/>
              </w:rPr>
            </w:pPr>
            <w:r w:rsidRPr="000548C9">
              <w:rPr>
                <w:sz w:val="20"/>
                <w:szCs w:val="20"/>
              </w:rPr>
              <w:t>Fresh produce</w:t>
            </w:r>
          </w:p>
        </w:tc>
        <w:tc>
          <w:tcPr>
            <w:tcW w:w="567" w:type="dxa"/>
            <w:shd w:val="clear" w:color="auto" w:fill="auto"/>
          </w:tcPr>
          <w:p w14:paraId="07B07D7C" w14:textId="77777777" w:rsidR="00F00C42" w:rsidRPr="000548C9" w:rsidRDefault="00F00C42" w:rsidP="005509A4">
            <w:pPr>
              <w:pStyle w:val="Numbered"/>
              <w:numPr>
                <w:ilvl w:val="0"/>
                <w:numId w:val="0"/>
              </w:numPr>
              <w:spacing w:before="0"/>
              <w:rPr>
                <w:sz w:val="20"/>
                <w:szCs w:val="20"/>
              </w:rPr>
            </w:pPr>
          </w:p>
        </w:tc>
        <w:tc>
          <w:tcPr>
            <w:tcW w:w="709" w:type="dxa"/>
            <w:shd w:val="clear" w:color="auto" w:fill="FFC399" w:themeFill="accent5" w:themeFillTint="66"/>
          </w:tcPr>
          <w:p w14:paraId="18CABA71" w14:textId="77777777" w:rsidR="00F00C42" w:rsidRPr="000548C9" w:rsidRDefault="00F00C42" w:rsidP="005509A4">
            <w:pPr>
              <w:pStyle w:val="Numbered"/>
              <w:numPr>
                <w:ilvl w:val="0"/>
                <w:numId w:val="0"/>
              </w:numPr>
              <w:spacing w:before="0"/>
              <w:rPr>
                <w:sz w:val="20"/>
                <w:szCs w:val="20"/>
              </w:rPr>
            </w:pPr>
          </w:p>
        </w:tc>
        <w:tc>
          <w:tcPr>
            <w:tcW w:w="850" w:type="dxa"/>
            <w:shd w:val="clear" w:color="auto" w:fill="auto"/>
          </w:tcPr>
          <w:p w14:paraId="345F43F6"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4EBEAB59" w14:textId="3062EA5B" w:rsidR="00F00C42" w:rsidRPr="000548C9" w:rsidRDefault="00F00C42" w:rsidP="00435241">
            <w:pPr>
              <w:pStyle w:val="Numbered"/>
              <w:numPr>
                <w:ilvl w:val="0"/>
                <w:numId w:val="0"/>
              </w:numPr>
              <w:spacing w:before="0"/>
              <w:rPr>
                <w:sz w:val="20"/>
                <w:szCs w:val="20"/>
              </w:rPr>
            </w:pPr>
            <w:r w:rsidRPr="000548C9">
              <w:rPr>
                <w:sz w:val="20"/>
                <w:szCs w:val="20"/>
              </w:rPr>
              <w:t>Process</w:t>
            </w:r>
            <w:r w:rsidR="00435241">
              <w:rPr>
                <w:sz w:val="20"/>
                <w:szCs w:val="20"/>
              </w:rPr>
              <w:t>, specifications, and t</w:t>
            </w:r>
            <w:r w:rsidRPr="000548C9">
              <w:rPr>
                <w:sz w:val="20"/>
                <w:szCs w:val="20"/>
              </w:rPr>
              <w:t>imeframes to accept or reject</w:t>
            </w:r>
            <w:r>
              <w:rPr>
                <w:sz w:val="20"/>
                <w:szCs w:val="20"/>
              </w:rPr>
              <w:t>.</w:t>
            </w:r>
          </w:p>
        </w:tc>
      </w:tr>
      <w:tr w:rsidR="00F00C42" w14:paraId="6701A427" w14:textId="77777777" w:rsidTr="00435241">
        <w:tc>
          <w:tcPr>
            <w:tcW w:w="3119" w:type="dxa"/>
          </w:tcPr>
          <w:p w14:paraId="011E90B7" w14:textId="77777777" w:rsidR="00F00C42" w:rsidRPr="000548C9" w:rsidRDefault="00F00C42" w:rsidP="005509A4">
            <w:pPr>
              <w:pStyle w:val="Numbered"/>
              <w:numPr>
                <w:ilvl w:val="0"/>
                <w:numId w:val="0"/>
              </w:numPr>
              <w:spacing w:before="0"/>
              <w:rPr>
                <w:sz w:val="20"/>
                <w:szCs w:val="20"/>
              </w:rPr>
            </w:pPr>
            <w:r w:rsidRPr="000548C9">
              <w:rPr>
                <w:sz w:val="20"/>
                <w:szCs w:val="20"/>
              </w:rPr>
              <w:t>Product ranging and shelf allocation</w:t>
            </w:r>
          </w:p>
        </w:tc>
        <w:tc>
          <w:tcPr>
            <w:tcW w:w="567" w:type="dxa"/>
          </w:tcPr>
          <w:p w14:paraId="0CA27941" w14:textId="77777777" w:rsidR="00F00C42" w:rsidRPr="000548C9" w:rsidRDefault="00F00C42" w:rsidP="005509A4">
            <w:pPr>
              <w:pStyle w:val="Numbered"/>
              <w:numPr>
                <w:ilvl w:val="0"/>
                <w:numId w:val="0"/>
              </w:numPr>
              <w:spacing w:before="0"/>
              <w:rPr>
                <w:sz w:val="20"/>
                <w:szCs w:val="20"/>
              </w:rPr>
            </w:pPr>
          </w:p>
        </w:tc>
        <w:tc>
          <w:tcPr>
            <w:tcW w:w="709" w:type="dxa"/>
            <w:shd w:val="clear" w:color="auto" w:fill="FFC399" w:themeFill="accent5" w:themeFillTint="66"/>
          </w:tcPr>
          <w:p w14:paraId="501262A3" w14:textId="77777777" w:rsidR="00F00C42" w:rsidRPr="000548C9" w:rsidRDefault="00F00C42" w:rsidP="005509A4">
            <w:pPr>
              <w:pStyle w:val="Numbered"/>
              <w:numPr>
                <w:ilvl w:val="0"/>
                <w:numId w:val="0"/>
              </w:numPr>
              <w:spacing w:before="0"/>
              <w:rPr>
                <w:sz w:val="20"/>
                <w:szCs w:val="20"/>
              </w:rPr>
            </w:pPr>
          </w:p>
        </w:tc>
        <w:tc>
          <w:tcPr>
            <w:tcW w:w="850" w:type="dxa"/>
            <w:shd w:val="clear" w:color="auto" w:fill="auto"/>
          </w:tcPr>
          <w:p w14:paraId="6C5EDE7C"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0E8A3436" w14:textId="38079F6E" w:rsidR="00F00C42" w:rsidRPr="000548C9" w:rsidRDefault="00F00C42" w:rsidP="007D2B74">
            <w:pPr>
              <w:pStyle w:val="Numbered"/>
              <w:numPr>
                <w:ilvl w:val="0"/>
                <w:numId w:val="0"/>
              </w:numPr>
              <w:spacing w:before="0"/>
              <w:rPr>
                <w:sz w:val="20"/>
                <w:szCs w:val="20"/>
              </w:rPr>
            </w:pPr>
            <w:r w:rsidRPr="000548C9">
              <w:rPr>
                <w:sz w:val="20"/>
                <w:szCs w:val="20"/>
              </w:rPr>
              <w:t>Require consistent treatment of all suppliers</w:t>
            </w:r>
            <w:r>
              <w:rPr>
                <w:sz w:val="20"/>
                <w:szCs w:val="20"/>
              </w:rPr>
              <w:t>.</w:t>
            </w:r>
          </w:p>
        </w:tc>
      </w:tr>
      <w:tr w:rsidR="00F00C42" w14:paraId="672B5399" w14:textId="77777777" w:rsidTr="00435241">
        <w:tc>
          <w:tcPr>
            <w:tcW w:w="3119" w:type="dxa"/>
          </w:tcPr>
          <w:p w14:paraId="2B2B5AAF" w14:textId="77777777" w:rsidR="00F00C42" w:rsidRPr="000548C9" w:rsidRDefault="00F00C42" w:rsidP="005509A4">
            <w:pPr>
              <w:pStyle w:val="Numbered"/>
              <w:numPr>
                <w:ilvl w:val="0"/>
                <w:numId w:val="0"/>
              </w:numPr>
              <w:spacing w:before="0"/>
              <w:rPr>
                <w:sz w:val="20"/>
                <w:szCs w:val="20"/>
              </w:rPr>
            </w:pPr>
            <w:r w:rsidRPr="000548C9">
              <w:rPr>
                <w:sz w:val="20"/>
                <w:szCs w:val="20"/>
              </w:rPr>
              <w:t>Range reviews</w:t>
            </w:r>
          </w:p>
        </w:tc>
        <w:tc>
          <w:tcPr>
            <w:tcW w:w="567" w:type="dxa"/>
          </w:tcPr>
          <w:p w14:paraId="3942A977" w14:textId="77777777" w:rsidR="00F00C42" w:rsidRPr="000548C9" w:rsidRDefault="00F00C42" w:rsidP="005509A4">
            <w:pPr>
              <w:pStyle w:val="Numbered"/>
              <w:numPr>
                <w:ilvl w:val="0"/>
                <w:numId w:val="0"/>
              </w:numPr>
              <w:spacing w:before="0"/>
              <w:rPr>
                <w:sz w:val="20"/>
                <w:szCs w:val="20"/>
              </w:rPr>
            </w:pPr>
          </w:p>
        </w:tc>
        <w:tc>
          <w:tcPr>
            <w:tcW w:w="709" w:type="dxa"/>
            <w:shd w:val="clear" w:color="auto" w:fill="FFC399" w:themeFill="accent5" w:themeFillTint="66"/>
          </w:tcPr>
          <w:p w14:paraId="4D6C156B" w14:textId="77777777" w:rsidR="00F00C42" w:rsidRPr="000548C9" w:rsidRDefault="00F00C42" w:rsidP="005509A4">
            <w:pPr>
              <w:pStyle w:val="Numbered"/>
              <w:numPr>
                <w:ilvl w:val="0"/>
                <w:numId w:val="0"/>
              </w:numPr>
              <w:spacing w:before="0"/>
              <w:rPr>
                <w:sz w:val="20"/>
                <w:szCs w:val="20"/>
              </w:rPr>
            </w:pPr>
          </w:p>
        </w:tc>
        <w:tc>
          <w:tcPr>
            <w:tcW w:w="850" w:type="dxa"/>
            <w:shd w:val="clear" w:color="auto" w:fill="auto"/>
          </w:tcPr>
          <w:p w14:paraId="467E85E2"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7EE30B09" w14:textId="177C18A7" w:rsidR="00F00C42" w:rsidRPr="000548C9" w:rsidRDefault="00F00C42" w:rsidP="007D2B74">
            <w:pPr>
              <w:pStyle w:val="Numbered"/>
              <w:numPr>
                <w:ilvl w:val="0"/>
                <w:numId w:val="0"/>
              </w:numPr>
              <w:spacing w:before="0"/>
              <w:rPr>
                <w:sz w:val="20"/>
                <w:szCs w:val="20"/>
              </w:rPr>
            </w:pPr>
            <w:r w:rsidRPr="000548C9">
              <w:rPr>
                <w:sz w:val="20"/>
                <w:szCs w:val="20"/>
              </w:rPr>
              <w:t>Provide advance notice</w:t>
            </w:r>
            <w:r>
              <w:rPr>
                <w:sz w:val="20"/>
                <w:szCs w:val="20"/>
              </w:rPr>
              <w:t>.</w:t>
            </w:r>
            <w:r w:rsidRPr="000548C9">
              <w:rPr>
                <w:sz w:val="20"/>
                <w:szCs w:val="20"/>
              </w:rPr>
              <w:t xml:space="preserve"> </w:t>
            </w:r>
          </w:p>
        </w:tc>
      </w:tr>
      <w:tr w:rsidR="00F00C42" w14:paraId="328D8183" w14:textId="77777777" w:rsidTr="00435241">
        <w:tc>
          <w:tcPr>
            <w:tcW w:w="3119" w:type="dxa"/>
          </w:tcPr>
          <w:p w14:paraId="369A35BA" w14:textId="77777777" w:rsidR="00F00C42" w:rsidRPr="000548C9" w:rsidRDefault="00F00C42" w:rsidP="005509A4">
            <w:pPr>
              <w:pStyle w:val="Numbered"/>
              <w:numPr>
                <w:ilvl w:val="0"/>
                <w:numId w:val="0"/>
              </w:numPr>
              <w:spacing w:before="0"/>
              <w:rPr>
                <w:sz w:val="20"/>
                <w:szCs w:val="20"/>
              </w:rPr>
            </w:pPr>
            <w:r w:rsidRPr="000548C9">
              <w:rPr>
                <w:sz w:val="20"/>
                <w:szCs w:val="20"/>
              </w:rPr>
              <w:t xml:space="preserve">Delisting </w:t>
            </w:r>
          </w:p>
        </w:tc>
        <w:tc>
          <w:tcPr>
            <w:tcW w:w="567" w:type="dxa"/>
          </w:tcPr>
          <w:p w14:paraId="550BF490" w14:textId="77777777" w:rsidR="00F00C42" w:rsidRPr="000548C9" w:rsidRDefault="00F00C42" w:rsidP="005509A4">
            <w:pPr>
              <w:pStyle w:val="Numbered"/>
              <w:numPr>
                <w:ilvl w:val="0"/>
                <w:numId w:val="0"/>
              </w:numPr>
              <w:spacing w:before="0"/>
              <w:rPr>
                <w:sz w:val="20"/>
                <w:szCs w:val="20"/>
              </w:rPr>
            </w:pPr>
          </w:p>
        </w:tc>
        <w:tc>
          <w:tcPr>
            <w:tcW w:w="709" w:type="dxa"/>
            <w:shd w:val="clear" w:color="auto" w:fill="FFC399" w:themeFill="accent5" w:themeFillTint="66"/>
          </w:tcPr>
          <w:p w14:paraId="46B229E7" w14:textId="77777777" w:rsidR="00F00C42" w:rsidRPr="000548C9" w:rsidRDefault="00F00C42" w:rsidP="005509A4">
            <w:pPr>
              <w:pStyle w:val="Numbered"/>
              <w:numPr>
                <w:ilvl w:val="0"/>
                <w:numId w:val="0"/>
              </w:numPr>
              <w:spacing w:before="0"/>
              <w:rPr>
                <w:sz w:val="20"/>
                <w:szCs w:val="20"/>
              </w:rPr>
            </w:pPr>
          </w:p>
        </w:tc>
        <w:tc>
          <w:tcPr>
            <w:tcW w:w="850" w:type="dxa"/>
            <w:shd w:val="clear" w:color="auto" w:fill="auto"/>
          </w:tcPr>
          <w:p w14:paraId="3BFE6AD8"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357A5EA4" w14:textId="48396321" w:rsidR="00F00C42" w:rsidRPr="000548C9" w:rsidRDefault="00F00C42" w:rsidP="00435241">
            <w:pPr>
              <w:pStyle w:val="Numbered"/>
              <w:numPr>
                <w:ilvl w:val="0"/>
                <w:numId w:val="0"/>
              </w:numPr>
              <w:spacing w:before="0"/>
              <w:rPr>
                <w:sz w:val="20"/>
                <w:szCs w:val="20"/>
              </w:rPr>
            </w:pPr>
            <w:r>
              <w:rPr>
                <w:sz w:val="20"/>
                <w:szCs w:val="20"/>
              </w:rPr>
              <w:t>G</w:t>
            </w:r>
            <w:r w:rsidRPr="000548C9">
              <w:rPr>
                <w:sz w:val="20"/>
                <w:szCs w:val="20"/>
              </w:rPr>
              <w:t>enuine commercial reasons</w:t>
            </w:r>
            <w:r w:rsidR="00435241">
              <w:rPr>
                <w:sz w:val="20"/>
                <w:szCs w:val="20"/>
              </w:rPr>
              <w:t>, and w</w:t>
            </w:r>
            <w:r w:rsidRPr="000548C9">
              <w:rPr>
                <w:sz w:val="20"/>
                <w:szCs w:val="20"/>
              </w:rPr>
              <w:t>ritten notice with time to engage dispute resolution</w:t>
            </w:r>
            <w:r>
              <w:rPr>
                <w:sz w:val="20"/>
                <w:szCs w:val="20"/>
              </w:rPr>
              <w:t>.</w:t>
            </w:r>
          </w:p>
        </w:tc>
      </w:tr>
      <w:tr w:rsidR="00F00C42" w14:paraId="022A884E" w14:textId="77777777" w:rsidTr="00435241">
        <w:tc>
          <w:tcPr>
            <w:tcW w:w="3119" w:type="dxa"/>
          </w:tcPr>
          <w:p w14:paraId="2CEB6F05" w14:textId="77777777" w:rsidR="00F00C42" w:rsidRPr="000548C9" w:rsidRDefault="00F00C42" w:rsidP="005509A4">
            <w:pPr>
              <w:pStyle w:val="Numbered"/>
              <w:numPr>
                <w:ilvl w:val="0"/>
                <w:numId w:val="0"/>
              </w:numPr>
              <w:spacing w:before="0"/>
              <w:rPr>
                <w:sz w:val="20"/>
                <w:szCs w:val="20"/>
              </w:rPr>
            </w:pPr>
            <w:r w:rsidRPr="000548C9">
              <w:rPr>
                <w:sz w:val="20"/>
                <w:szCs w:val="20"/>
              </w:rPr>
              <w:t>Confidential information, intellectual property</w:t>
            </w:r>
          </w:p>
        </w:tc>
        <w:tc>
          <w:tcPr>
            <w:tcW w:w="567" w:type="dxa"/>
          </w:tcPr>
          <w:p w14:paraId="5F0ED461" w14:textId="77777777" w:rsidR="00F00C42" w:rsidRPr="000548C9" w:rsidRDefault="00F00C42" w:rsidP="005509A4">
            <w:pPr>
              <w:pStyle w:val="Numbered"/>
              <w:numPr>
                <w:ilvl w:val="0"/>
                <w:numId w:val="0"/>
              </w:numPr>
              <w:spacing w:before="0"/>
              <w:rPr>
                <w:sz w:val="20"/>
                <w:szCs w:val="20"/>
              </w:rPr>
            </w:pPr>
          </w:p>
        </w:tc>
        <w:tc>
          <w:tcPr>
            <w:tcW w:w="709" w:type="dxa"/>
          </w:tcPr>
          <w:p w14:paraId="56F6649B" w14:textId="77777777" w:rsidR="00F00C42" w:rsidRPr="000548C9" w:rsidRDefault="00F00C42" w:rsidP="005509A4">
            <w:pPr>
              <w:pStyle w:val="Numbered"/>
              <w:numPr>
                <w:ilvl w:val="0"/>
                <w:numId w:val="0"/>
              </w:numPr>
              <w:spacing w:before="0"/>
              <w:rPr>
                <w:sz w:val="20"/>
                <w:szCs w:val="20"/>
              </w:rPr>
            </w:pPr>
          </w:p>
        </w:tc>
        <w:tc>
          <w:tcPr>
            <w:tcW w:w="850" w:type="dxa"/>
            <w:shd w:val="clear" w:color="auto" w:fill="FFC399" w:themeFill="accent5" w:themeFillTint="66"/>
          </w:tcPr>
          <w:p w14:paraId="457E6035"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1C3D9930" w14:textId="7E7A9785" w:rsidR="00F00C42" w:rsidRPr="000548C9" w:rsidRDefault="00F00C42" w:rsidP="007D2B74">
            <w:pPr>
              <w:pStyle w:val="Numbered"/>
              <w:numPr>
                <w:ilvl w:val="0"/>
                <w:numId w:val="0"/>
              </w:numPr>
              <w:spacing w:before="0"/>
              <w:rPr>
                <w:sz w:val="20"/>
                <w:szCs w:val="20"/>
              </w:rPr>
            </w:pPr>
            <w:r>
              <w:rPr>
                <w:sz w:val="20"/>
                <w:szCs w:val="20"/>
              </w:rPr>
              <w:t>Must not hold in confidence and not use beyond intended purpose.</w:t>
            </w:r>
            <w:r w:rsidR="00112B34">
              <w:rPr>
                <w:sz w:val="20"/>
                <w:szCs w:val="20"/>
              </w:rPr>
              <w:t xml:space="preserve"> Require recognition of intellectual property that is a taonga</w:t>
            </w:r>
          </w:p>
        </w:tc>
      </w:tr>
      <w:tr w:rsidR="00F00C42" w14:paraId="2D3C2EE7" w14:textId="77777777" w:rsidTr="00435241">
        <w:tc>
          <w:tcPr>
            <w:tcW w:w="3119" w:type="dxa"/>
          </w:tcPr>
          <w:p w14:paraId="2195729D" w14:textId="77777777" w:rsidR="00F00C42" w:rsidRPr="000548C9" w:rsidRDefault="00F00C42" w:rsidP="005509A4">
            <w:pPr>
              <w:pStyle w:val="Numbered"/>
              <w:numPr>
                <w:ilvl w:val="0"/>
                <w:numId w:val="0"/>
              </w:numPr>
              <w:spacing w:before="0"/>
              <w:rPr>
                <w:sz w:val="20"/>
                <w:szCs w:val="20"/>
              </w:rPr>
            </w:pPr>
            <w:r w:rsidRPr="000548C9">
              <w:rPr>
                <w:sz w:val="20"/>
                <w:szCs w:val="20"/>
              </w:rPr>
              <w:t>Business disruptions and freedom of association</w:t>
            </w:r>
          </w:p>
        </w:tc>
        <w:tc>
          <w:tcPr>
            <w:tcW w:w="567" w:type="dxa"/>
          </w:tcPr>
          <w:p w14:paraId="7D5AAB1A" w14:textId="77777777" w:rsidR="00F00C42" w:rsidRPr="000548C9" w:rsidRDefault="00F00C42" w:rsidP="005509A4">
            <w:pPr>
              <w:pStyle w:val="Numbered"/>
              <w:numPr>
                <w:ilvl w:val="0"/>
                <w:numId w:val="0"/>
              </w:numPr>
              <w:spacing w:before="0"/>
              <w:rPr>
                <w:sz w:val="20"/>
                <w:szCs w:val="20"/>
              </w:rPr>
            </w:pPr>
          </w:p>
        </w:tc>
        <w:tc>
          <w:tcPr>
            <w:tcW w:w="709" w:type="dxa"/>
          </w:tcPr>
          <w:p w14:paraId="1A62FBE2" w14:textId="77777777" w:rsidR="00F00C42" w:rsidRPr="000548C9" w:rsidRDefault="00F00C42" w:rsidP="005509A4">
            <w:pPr>
              <w:pStyle w:val="Numbered"/>
              <w:numPr>
                <w:ilvl w:val="0"/>
                <w:numId w:val="0"/>
              </w:numPr>
              <w:spacing w:before="0"/>
              <w:rPr>
                <w:sz w:val="20"/>
                <w:szCs w:val="20"/>
              </w:rPr>
            </w:pPr>
          </w:p>
        </w:tc>
        <w:tc>
          <w:tcPr>
            <w:tcW w:w="850" w:type="dxa"/>
            <w:shd w:val="clear" w:color="auto" w:fill="FFC399" w:themeFill="accent5" w:themeFillTint="66"/>
          </w:tcPr>
          <w:p w14:paraId="6265D541" w14:textId="77777777" w:rsidR="00F00C42" w:rsidRPr="000548C9" w:rsidRDefault="00F00C42" w:rsidP="005509A4">
            <w:pPr>
              <w:pStyle w:val="Numbered"/>
              <w:numPr>
                <w:ilvl w:val="0"/>
                <w:numId w:val="0"/>
              </w:numPr>
              <w:spacing w:before="0"/>
              <w:rPr>
                <w:sz w:val="20"/>
                <w:szCs w:val="20"/>
              </w:rPr>
            </w:pPr>
          </w:p>
        </w:tc>
        <w:tc>
          <w:tcPr>
            <w:tcW w:w="3969" w:type="dxa"/>
          </w:tcPr>
          <w:p w14:paraId="77B31BBE" w14:textId="77777777" w:rsidR="00F00C42" w:rsidRPr="000548C9" w:rsidRDefault="00F00C42" w:rsidP="007D2B74">
            <w:pPr>
              <w:pStyle w:val="Numbered"/>
              <w:numPr>
                <w:ilvl w:val="0"/>
                <w:numId w:val="0"/>
              </w:numPr>
              <w:spacing w:before="0"/>
              <w:rPr>
                <w:sz w:val="20"/>
                <w:szCs w:val="20"/>
              </w:rPr>
            </w:pPr>
          </w:p>
        </w:tc>
      </w:tr>
      <w:tr w:rsidR="00F00C42" w14:paraId="718E704E" w14:textId="77777777" w:rsidTr="00435241">
        <w:tc>
          <w:tcPr>
            <w:tcW w:w="3119" w:type="dxa"/>
          </w:tcPr>
          <w:p w14:paraId="47CD253D" w14:textId="486F94E6" w:rsidR="00F00C42" w:rsidRPr="000548C9" w:rsidRDefault="00435241" w:rsidP="005509A4">
            <w:pPr>
              <w:pStyle w:val="Numbered"/>
              <w:numPr>
                <w:ilvl w:val="0"/>
                <w:numId w:val="0"/>
              </w:numPr>
              <w:spacing w:before="0"/>
              <w:rPr>
                <w:sz w:val="20"/>
                <w:szCs w:val="20"/>
              </w:rPr>
            </w:pPr>
            <w:r w:rsidRPr="000548C9">
              <w:rPr>
                <w:sz w:val="20"/>
                <w:szCs w:val="20"/>
              </w:rPr>
              <w:t>Whistle-blower</w:t>
            </w:r>
            <w:r w:rsidR="00F00C42" w:rsidRPr="000548C9">
              <w:rPr>
                <w:sz w:val="20"/>
                <w:szCs w:val="20"/>
              </w:rPr>
              <w:t xml:space="preserve"> protections</w:t>
            </w:r>
          </w:p>
        </w:tc>
        <w:tc>
          <w:tcPr>
            <w:tcW w:w="567" w:type="dxa"/>
          </w:tcPr>
          <w:p w14:paraId="241A7A17" w14:textId="77777777" w:rsidR="00F00C42" w:rsidRPr="000548C9" w:rsidRDefault="00F00C42" w:rsidP="005509A4">
            <w:pPr>
              <w:pStyle w:val="Numbered"/>
              <w:numPr>
                <w:ilvl w:val="0"/>
                <w:numId w:val="0"/>
              </w:numPr>
              <w:spacing w:before="0"/>
              <w:rPr>
                <w:sz w:val="20"/>
                <w:szCs w:val="20"/>
              </w:rPr>
            </w:pPr>
          </w:p>
        </w:tc>
        <w:tc>
          <w:tcPr>
            <w:tcW w:w="709" w:type="dxa"/>
          </w:tcPr>
          <w:p w14:paraId="26CA9189" w14:textId="77777777" w:rsidR="00F00C42" w:rsidRPr="000548C9" w:rsidRDefault="00F00C42" w:rsidP="005509A4">
            <w:pPr>
              <w:pStyle w:val="Numbered"/>
              <w:numPr>
                <w:ilvl w:val="0"/>
                <w:numId w:val="0"/>
              </w:numPr>
              <w:spacing w:before="0"/>
              <w:rPr>
                <w:sz w:val="20"/>
                <w:szCs w:val="20"/>
              </w:rPr>
            </w:pPr>
          </w:p>
        </w:tc>
        <w:tc>
          <w:tcPr>
            <w:tcW w:w="850" w:type="dxa"/>
            <w:shd w:val="clear" w:color="auto" w:fill="FFC399" w:themeFill="accent5" w:themeFillTint="66"/>
          </w:tcPr>
          <w:p w14:paraId="443DEBB1" w14:textId="77777777" w:rsidR="00F00C42" w:rsidRPr="000548C9" w:rsidRDefault="00F00C42" w:rsidP="005509A4">
            <w:pPr>
              <w:pStyle w:val="Numbered"/>
              <w:numPr>
                <w:ilvl w:val="0"/>
                <w:numId w:val="0"/>
              </w:numPr>
              <w:spacing w:before="0"/>
              <w:rPr>
                <w:sz w:val="20"/>
                <w:szCs w:val="20"/>
              </w:rPr>
            </w:pPr>
          </w:p>
        </w:tc>
        <w:tc>
          <w:tcPr>
            <w:tcW w:w="3969" w:type="dxa"/>
          </w:tcPr>
          <w:p w14:paraId="1687C49D" w14:textId="77777777" w:rsidR="00F00C42" w:rsidRPr="000548C9" w:rsidRDefault="00F00C42" w:rsidP="005509A4">
            <w:pPr>
              <w:pStyle w:val="Numbered"/>
              <w:numPr>
                <w:ilvl w:val="0"/>
                <w:numId w:val="0"/>
              </w:numPr>
              <w:spacing w:before="0"/>
              <w:rPr>
                <w:sz w:val="20"/>
                <w:szCs w:val="20"/>
              </w:rPr>
            </w:pPr>
          </w:p>
        </w:tc>
      </w:tr>
    </w:tbl>
    <w:p w14:paraId="51A86C28" w14:textId="1C5959D0" w:rsidR="009614C3" w:rsidRDefault="009614C3" w:rsidP="006E56CE">
      <w:pPr>
        <w:spacing w:after="0"/>
      </w:pPr>
    </w:p>
    <w:tbl>
      <w:tblPr>
        <w:tblStyle w:val="TableGrid"/>
        <w:tblW w:w="9214" w:type="dxa"/>
        <w:tblInd w:w="-5" w:type="dxa"/>
        <w:tblLayout w:type="fixed"/>
        <w:tblCellMar>
          <w:left w:w="57" w:type="dxa"/>
          <w:right w:w="57" w:type="dxa"/>
        </w:tblCellMar>
        <w:tblLook w:val="04A0" w:firstRow="1" w:lastRow="0" w:firstColumn="1" w:lastColumn="0" w:noHBand="0" w:noVBand="1"/>
      </w:tblPr>
      <w:tblGrid>
        <w:gridCol w:w="3119"/>
        <w:gridCol w:w="567"/>
        <w:gridCol w:w="709"/>
        <w:gridCol w:w="850"/>
        <w:gridCol w:w="3969"/>
      </w:tblGrid>
      <w:tr w:rsidR="000548C9" w:rsidRPr="00A82B1F" w14:paraId="5380C5C5" w14:textId="77777777" w:rsidTr="00112B34">
        <w:tc>
          <w:tcPr>
            <w:tcW w:w="3119" w:type="dxa"/>
            <w:vMerge w:val="restart"/>
          </w:tcPr>
          <w:p w14:paraId="407083B6" w14:textId="258E1639" w:rsidR="000548C9" w:rsidRPr="00335395" w:rsidRDefault="000548C9" w:rsidP="005509A4">
            <w:pPr>
              <w:pStyle w:val="Numbered"/>
              <w:numPr>
                <w:ilvl w:val="0"/>
                <w:numId w:val="0"/>
              </w:numPr>
              <w:spacing w:before="0"/>
              <w:rPr>
                <w:b/>
                <w:bCs/>
              </w:rPr>
            </w:pPr>
            <w:r w:rsidRPr="00A82B1F">
              <w:rPr>
                <w:b/>
                <w:bCs/>
              </w:rPr>
              <w:t xml:space="preserve">Option 3 </w:t>
            </w:r>
            <w:r w:rsidR="00D3390A" w:rsidRPr="00D3390A">
              <w:rPr>
                <w:b/>
                <w:bCs/>
              </w:rPr>
              <w:t xml:space="preserve">Alternative </w:t>
            </w:r>
            <w:r w:rsidRPr="00A82B1F">
              <w:rPr>
                <w:b/>
                <w:bCs/>
              </w:rPr>
              <w:t>Code</w:t>
            </w:r>
          </w:p>
        </w:tc>
        <w:tc>
          <w:tcPr>
            <w:tcW w:w="6095" w:type="dxa"/>
            <w:gridSpan w:val="4"/>
            <w:vAlign w:val="center"/>
          </w:tcPr>
          <w:p w14:paraId="3779B77B" w14:textId="2421DC81" w:rsidR="000548C9" w:rsidRPr="00A82B1F" w:rsidRDefault="008E27CD" w:rsidP="005509A4">
            <w:pPr>
              <w:pStyle w:val="Numbered"/>
              <w:numPr>
                <w:ilvl w:val="0"/>
                <w:numId w:val="0"/>
              </w:numPr>
              <w:spacing w:before="0"/>
              <w:jc w:val="center"/>
              <w:rPr>
                <w:b/>
                <w:bCs/>
              </w:rPr>
            </w:pPr>
            <w:r w:rsidRPr="00A82B1F">
              <w:rPr>
                <w:b/>
                <w:bCs/>
              </w:rPr>
              <w:t xml:space="preserve">How the </w:t>
            </w:r>
            <w:r>
              <w:rPr>
                <w:b/>
                <w:bCs/>
              </w:rPr>
              <w:t>option</w:t>
            </w:r>
            <w:r w:rsidRPr="00A82B1F">
              <w:rPr>
                <w:b/>
                <w:bCs/>
              </w:rPr>
              <w:t xml:space="preserve"> regulates conduct</w:t>
            </w:r>
          </w:p>
        </w:tc>
      </w:tr>
      <w:tr w:rsidR="000548C9" w14:paraId="3B4F84F7" w14:textId="77777777" w:rsidTr="00112B34">
        <w:tc>
          <w:tcPr>
            <w:tcW w:w="3119" w:type="dxa"/>
            <w:vMerge/>
          </w:tcPr>
          <w:p w14:paraId="0E2FF97A" w14:textId="77777777" w:rsidR="000548C9" w:rsidRPr="00A82B1F" w:rsidRDefault="000548C9" w:rsidP="005509A4">
            <w:pPr>
              <w:pStyle w:val="Numbered"/>
              <w:numPr>
                <w:ilvl w:val="0"/>
                <w:numId w:val="0"/>
              </w:numPr>
              <w:spacing w:before="0"/>
              <w:rPr>
                <w:b/>
                <w:bCs/>
              </w:rPr>
            </w:pPr>
          </w:p>
        </w:tc>
        <w:tc>
          <w:tcPr>
            <w:tcW w:w="567" w:type="dxa"/>
          </w:tcPr>
          <w:p w14:paraId="618267CE" w14:textId="77777777" w:rsidR="000548C9" w:rsidRPr="009614C3" w:rsidRDefault="000548C9" w:rsidP="005509A4">
            <w:pPr>
              <w:pStyle w:val="Numbered"/>
              <w:numPr>
                <w:ilvl w:val="0"/>
                <w:numId w:val="0"/>
              </w:numPr>
              <w:spacing w:before="0"/>
              <w:rPr>
                <w:sz w:val="20"/>
                <w:szCs w:val="20"/>
              </w:rPr>
            </w:pPr>
            <w:r w:rsidRPr="009614C3">
              <w:rPr>
                <w:sz w:val="20"/>
                <w:szCs w:val="20"/>
              </w:rPr>
              <w:t xml:space="preserve">N/A </w:t>
            </w:r>
          </w:p>
        </w:tc>
        <w:tc>
          <w:tcPr>
            <w:tcW w:w="709" w:type="dxa"/>
          </w:tcPr>
          <w:p w14:paraId="62D5234C" w14:textId="1FACD166" w:rsidR="000548C9" w:rsidRPr="009614C3" w:rsidRDefault="000548C9" w:rsidP="005509A4">
            <w:pPr>
              <w:pStyle w:val="Numbered"/>
              <w:numPr>
                <w:ilvl w:val="0"/>
                <w:numId w:val="0"/>
              </w:numPr>
              <w:spacing w:before="0"/>
              <w:rPr>
                <w:sz w:val="20"/>
                <w:szCs w:val="20"/>
              </w:rPr>
            </w:pPr>
            <w:r w:rsidRPr="009614C3">
              <w:rPr>
                <w:sz w:val="20"/>
                <w:szCs w:val="20"/>
              </w:rPr>
              <w:t>Limi</w:t>
            </w:r>
            <w:r w:rsidR="009614C3" w:rsidRPr="009614C3">
              <w:rPr>
                <w:sz w:val="20"/>
                <w:szCs w:val="20"/>
              </w:rPr>
              <w:t>t</w:t>
            </w:r>
            <w:r w:rsidRPr="009614C3">
              <w:rPr>
                <w:sz w:val="20"/>
                <w:szCs w:val="20"/>
              </w:rPr>
              <w:t xml:space="preserve"> </w:t>
            </w:r>
          </w:p>
        </w:tc>
        <w:tc>
          <w:tcPr>
            <w:tcW w:w="850" w:type="dxa"/>
          </w:tcPr>
          <w:p w14:paraId="25B8162B" w14:textId="02D71A8F" w:rsidR="000548C9" w:rsidRPr="009614C3" w:rsidRDefault="000548C9" w:rsidP="005509A4">
            <w:pPr>
              <w:pStyle w:val="Numbered"/>
              <w:numPr>
                <w:ilvl w:val="0"/>
                <w:numId w:val="0"/>
              </w:numPr>
              <w:spacing w:before="0"/>
              <w:rPr>
                <w:sz w:val="20"/>
                <w:szCs w:val="20"/>
              </w:rPr>
            </w:pPr>
            <w:r w:rsidRPr="009614C3">
              <w:rPr>
                <w:sz w:val="20"/>
                <w:szCs w:val="20"/>
              </w:rPr>
              <w:t>Prohibit</w:t>
            </w:r>
          </w:p>
        </w:tc>
        <w:tc>
          <w:tcPr>
            <w:tcW w:w="3969" w:type="dxa"/>
          </w:tcPr>
          <w:p w14:paraId="22373741" w14:textId="77777777" w:rsidR="000548C9" w:rsidRPr="009614C3" w:rsidRDefault="000548C9" w:rsidP="005509A4">
            <w:pPr>
              <w:pStyle w:val="Numbered"/>
              <w:numPr>
                <w:ilvl w:val="0"/>
                <w:numId w:val="0"/>
              </w:numPr>
              <w:spacing w:before="0"/>
              <w:rPr>
                <w:sz w:val="20"/>
                <w:szCs w:val="20"/>
              </w:rPr>
            </w:pPr>
            <w:r w:rsidRPr="009614C3">
              <w:rPr>
                <w:sz w:val="20"/>
                <w:szCs w:val="20"/>
              </w:rPr>
              <w:t>Exceptions or conditions</w:t>
            </w:r>
          </w:p>
        </w:tc>
      </w:tr>
      <w:tr w:rsidR="00435241" w14:paraId="541F904E" w14:textId="77777777" w:rsidTr="00112B34">
        <w:tc>
          <w:tcPr>
            <w:tcW w:w="3119" w:type="dxa"/>
          </w:tcPr>
          <w:p w14:paraId="2577B9A2" w14:textId="77777777" w:rsidR="00435241" w:rsidRPr="000548C9" w:rsidRDefault="00435241" w:rsidP="00435241">
            <w:pPr>
              <w:pStyle w:val="Numbered"/>
              <w:numPr>
                <w:ilvl w:val="0"/>
                <w:numId w:val="0"/>
              </w:numPr>
              <w:spacing w:before="0"/>
              <w:rPr>
                <w:sz w:val="20"/>
                <w:szCs w:val="20"/>
              </w:rPr>
            </w:pPr>
            <w:r w:rsidRPr="000548C9">
              <w:rPr>
                <w:sz w:val="20"/>
                <w:szCs w:val="20"/>
              </w:rPr>
              <w:t>Changes to supply chain processes</w:t>
            </w:r>
          </w:p>
        </w:tc>
        <w:tc>
          <w:tcPr>
            <w:tcW w:w="567" w:type="dxa"/>
          </w:tcPr>
          <w:p w14:paraId="7D195370" w14:textId="77777777" w:rsidR="00435241" w:rsidRPr="000548C9" w:rsidRDefault="00435241" w:rsidP="00435241">
            <w:pPr>
              <w:pStyle w:val="Numbered"/>
              <w:numPr>
                <w:ilvl w:val="0"/>
                <w:numId w:val="0"/>
              </w:numPr>
              <w:spacing w:before="0"/>
              <w:rPr>
                <w:sz w:val="20"/>
                <w:szCs w:val="20"/>
              </w:rPr>
            </w:pPr>
          </w:p>
        </w:tc>
        <w:tc>
          <w:tcPr>
            <w:tcW w:w="709" w:type="dxa"/>
            <w:shd w:val="clear" w:color="auto" w:fill="auto"/>
          </w:tcPr>
          <w:p w14:paraId="4FA2FCDA" w14:textId="77777777" w:rsidR="00435241" w:rsidRPr="000548C9" w:rsidRDefault="00435241" w:rsidP="00435241">
            <w:pPr>
              <w:pStyle w:val="Numbered"/>
              <w:numPr>
                <w:ilvl w:val="0"/>
                <w:numId w:val="0"/>
              </w:numPr>
              <w:spacing w:before="0"/>
              <w:rPr>
                <w:sz w:val="20"/>
                <w:szCs w:val="20"/>
              </w:rPr>
            </w:pPr>
          </w:p>
        </w:tc>
        <w:tc>
          <w:tcPr>
            <w:tcW w:w="850" w:type="dxa"/>
            <w:shd w:val="clear" w:color="auto" w:fill="FFC399" w:themeFill="accent5" w:themeFillTint="66"/>
          </w:tcPr>
          <w:p w14:paraId="3ACB1921" w14:textId="77777777" w:rsidR="00435241" w:rsidRPr="000548C9" w:rsidRDefault="00435241" w:rsidP="00435241">
            <w:pPr>
              <w:pStyle w:val="Numbered"/>
              <w:numPr>
                <w:ilvl w:val="0"/>
                <w:numId w:val="0"/>
              </w:numPr>
              <w:spacing w:before="0"/>
              <w:rPr>
                <w:sz w:val="20"/>
                <w:szCs w:val="20"/>
              </w:rPr>
            </w:pPr>
          </w:p>
        </w:tc>
        <w:tc>
          <w:tcPr>
            <w:tcW w:w="3969" w:type="dxa"/>
            <w:shd w:val="clear" w:color="auto" w:fill="FFE1CC" w:themeFill="accent5" w:themeFillTint="33"/>
          </w:tcPr>
          <w:p w14:paraId="1D72B1E6" w14:textId="3E353AAD" w:rsidR="00435241" w:rsidRPr="000548C9" w:rsidRDefault="00435241" w:rsidP="00435241">
            <w:pPr>
              <w:pStyle w:val="Numbered"/>
              <w:numPr>
                <w:ilvl w:val="0"/>
                <w:numId w:val="0"/>
              </w:numPr>
              <w:spacing w:before="0"/>
              <w:rPr>
                <w:sz w:val="20"/>
                <w:szCs w:val="20"/>
              </w:rPr>
            </w:pPr>
            <w:r w:rsidRPr="000548C9">
              <w:rPr>
                <w:sz w:val="20"/>
                <w:szCs w:val="20"/>
              </w:rPr>
              <w:t>In supply agreement</w:t>
            </w:r>
            <w:r>
              <w:rPr>
                <w:sz w:val="20"/>
                <w:szCs w:val="20"/>
              </w:rPr>
              <w:t>, r</w:t>
            </w:r>
            <w:r w:rsidRPr="000548C9">
              <w:rPr>
                <w:sz w:val="20"/>
                <w:szCs w:val="20"/>
              </w:rPr>
              <w:t>easonable in circumstances</w:t>
            </w:r>
            <w:r>
              <w:rPr>
                <w:sz w:val="20"/>
                <w:szCs w:val="20"/>
              </w:rPr>
              <w:t xml:space="preserve"> with r</w:t>
            </w:r>
            <w:r w:rsidRPr="000548C9">
              <w:rPr>
                <w:sz w:val="20"/>
                <w:szCs w:val="20"/>
              </w:rPr>
              <w:t>easonable notice</w:t>
            </w:r>
            <w:r>
              <w:rPr>
                <w:sz w:val="20"/>
                <w:szCs w:val="20"/>
              </w:rPr>
              <w:t xml:space="preserve"> and c</w:t>
            </w:r>
            <w:r w:rsidRPr="000548C9">
              <w:rPr>
                <w:sz w:val="20"/>
                <w:szCs w:val="20"/>
              </w:rPr>
              <w:t>ompensation otherwise</w:t>
            </w:r>
            <w:r>
              <w:rPr>
                <w:sz w:val="20"/>
                <w:szCs w:val="20"/>
              </w:rPr>
              <w:t>.</w:t>
            </w:r>
          </w:p>
        </w:tc>
      </w:tr>
      <w:tr w:rsidR="00435241" w14:paraId="42665926" w14:textId="77777777" w:rsidTr="00112B34">
        <w:tc>
          <w:tcPr>
            <w:tcW w:w="3119" w:type="dxa"/>
          </w:tcPr>
          <w:p w14:paraId="653DB7BA" w14:textId="38A97E74" w:rsidR="00435241" w:rsidRPr="000548C9" w:rsidRDefault="00435241" w:rsidP="00435241">
            <w:pPr>
              <w:pStyle w:val="Numbered"/>
              <w:numPr>
                <w:ilvl w:val="0"/>
                <w:numId w:val="0"/>
              </w:numPr>
              <w:spacing w:before="0"/>
              <w:rPr>
                <w:sz w:val="20"/>
                <w:szCs w:val="20"/>
              </w:rPr>
            </w:pPr>
            <w:r w:rsidRPr="000548C9">
              <w:rPr>
                <w:sz w:val="20"/>
                <w:szCs w:val="20"/>
              </w:rPr>
              <w:t xml:space="preserve">Pressure </w:t>
            </w:r>
            <w:r>
              <w:rPr>
                <w:sz w:val="20"/>
                <w:szCs w:val="20"/>
              </w:rPr>
              <w:t>re.</w:t>
            </w:r>
            <w:r w:rsidRPr="000548C9">
              <w:rPr>
                <w:sz w:val="20"/>
                <w:szCs w:val="20"/>
              </w:rPr>
              <w:t>logistics services</w:t>
            </w:r>
          </w:p>
        </w:tc>
        <w:tc>
          <w:tcPr>
            <w:tcW w:w="567" w:type="dxa"/>
          </w:tcPr>
          <w:p w14:paraId="0BBE5575" w14:textId="77777777" w:rsidR="00435241" w:rsidRPr="000548C9" w:rsidRDefault="00435241" w:rsidP="00435241">
            <w:pPr>
              <w:pStyle w:val="Numbered"/>
              <w:numPr>
                <w:ilvl w:val="0"/>
                <w:numId w:val="0"/>
              </w:numPr>
              <w:spacing w:before="0"/>
              <w:rPr>
                <w:sz w:val="20"/>
                <w:szCs w:val="20"/>
              </w:rPr>
            </w:pPr>
          </w:p>
        </w:tc>
        <w:tc>
          <w:tcPr>
            <w:tcW w:w="709" w:type="dxa"/>
            <w:shd w:val="clear" w:color="auto" w:fill="auto"/>
          </w:tcPr>
          <w:p w14:paraId="1FE118C9" w14:textId="77777777" w:rsidR="00435241" w:rsidRPr="000548C9" w:rsidRDefault="00435241" w:rsidP="00435241">
            <w:pPr>
              <w:pStyle w:val="Numbered"/>
              <w:numPr>
                <w:ilvl w:val="0"/>
                <w:numId w:val="0"/>
              </w:numPr>
              <w:spacing w:before="0"/>
              <w:rPr>
                <w:sz w:val="20"/>
                <w:szCs w:val="20"/>
              </w:rPr>
            </w:pPr>
          </w:p>
        </w:tc>
        <w:tc>
          <w:tcPr>
            <w:tcW w:w="850" w:type="dxa"/>
            <w:shd w:val="clear" w:color="auto" w:fill="FFC399" w:themeFill="accent5" w:themeFillTint="66"/>
          </w:tcPr>
          <w:p w14:paraId="1980A21A" w14:textId="77777777" w:rsidR="00435241" w:rsidRPr="000548C9" w:rsidRDefault="00435241" w:rsidP="00435241">
            <w:pPr>
              <w:pStyle w:val="Numbered"/>
              <w:numPr>
                <w:ilvl w:val="0"/>
                <w:numId w:val="0"/>
              </w:numPr>
              <w:spacing w:before="0"/>
              <w:rPr>
                <w:sz w:val="20"/>
                <w:szCs w:val="20"/>
              </w:rPr>
            </w:pPr>
          </w:p>
        </w:tc>
        <w:tc>
          <w:tcPr>
            <w:tcW w:w="3969" w:type="dxa"/>
            <w:shd w:val="clear" w:color="auto" w:fill="FFE1CC" w:themeFill="accent5" w:themeFillTint="33"/>
          </w:tcPr>
          <w:p w14:paraId="76D77311" w14:textId="243C64A6" w:rsidR="00435241" w:rsidRPr="000548C9" w:rsidRDefault="00435241" w:rsidP="00435241">
            <w:pPr>
              <w:pStyle w:val="Numbered"/>
              <w:numPr>
                <w:ilvl w:val="0"/>
                <w:numId w:val="0"/>
              </w:numPr>
              <w:spacing w:before="0"/>
              <w:rPr>
                <w:sz w:val="20"/>
                <w:szCs w:val="20"/>
              </w:rPr>
            </w:pPr>
            <w:r>
              <w:rPr>
                <w:sz w:val="20"/>
                <w:szCs w:val="20"/>
              </w:rPr>
              <w:t>Except where lower cost or supplier’s service provider did not meet requirements.</w:t>
            </w:r>
          </w:p>
        </w:tc>
      </w:tr>
      <w:tr w:rsidR="00F00C42" w14:paraId="2735B0C0" w14:textId="77777777" w:rsidTr="00112B34">
        <w:tc>
          <w:tcPr>
            <w:tcW w:w="3119" w:type="dxa"/>
          </w:tcPr>
          <w:p w14:paraId="49477A9D" w14:textId="5DD7CA91" w:rsidR="00F00C42" w:rsidRPr="000548C9" w:rsidRDefault="00F00C42" w:rsidP="005509A4">
            <w:pPr>
              <w:pStyle w:val="Numbered"/>
              <w:numPr>
                <w:ilvl w:val="0"/>
                <w:numId w:val="0"/>
              </w:numPr>
              <w:spacing w:before="0"/>
              <w:rPr>
                <w:sz w:val="20"/>
                <w:szCs w:val="20"/>
              </w:rPr>
            </w:pPr>
            <w:r w:rsidRPr="000548C9">
              <w:rPr>
                <w:sz w:val="20"/>
                <w:szCs w:val="20"/>
              </w:rPr>
              <w:t>Fresh produce</w:t>
            </w:r>
          </w:p>
        </w:tc>
        <w:tc>
          <w:tcPr>
            <w:tcW w:w="567" w:type="dxa"/>
            <w:shd w:val="clear" w:color="auto" w:fill="FFC399"/>
          </w:tcPr>
          <w:p w14:paraId="5637C442" w14:textId="77777777" w:rsidR="00F00C42" w:rsidRPr="000548C9" w:rsidRDefault="00F00C42" w:rsidP="005509A4">
            <w:pPr>
              <w:pStyle w:val="Numbered"/>
              <w:numPr>
                <w:ilvl w:val="0"/>
                <w:numId w:val="0"/>
              </w:numPr>
              <w:spacing w:before="0"/>
              <w:rPr>
                <w:sz w:val="20"/>
                <w:szCs w:val="20"/>
              </w:rPr>
            </w:pPr>
          </w:p>
        </w:tc>
        <w:tc>
          <w:tcPr>
            <w:tcW w:w="709" w:type="dxa"/>
            <w:shd w:val="clear" w:color="auto" w:fill="auto"/>
          </w:tcPr>
          <w:p w14:paraId="3470EF0B" w14:textId="77777777" w:rsidR="00F00C42" w:rsidRPr="000548C9" w:rsidRDefault="00F00C42" w:rsidP="005509A4">
            <w:pPr>
              <w:pStyle w:val="Numbered"/>
              <w:numPr>
                <w:ilvl w:val="0"/>
                <w:numId w:val="0"/>
              </w:numPr>
              <w:spacing w:before="0"/>
              <w:rPr>
                <w:sz w:val="20"/>
                <w:szCs w:val="20"/>
              </w:rPr>
            </w:pPr>
          </w:p>
        </w:tc>
        <w:tc>
          <w:tcPr>
            <w:tcW w:w="850" w:type="dxa"/>
            <w:shd w:val="clear" w:color="auto" w:fill="auto"/>
          </w:tcPr>
          <w:p w14:paraId="6B8F5561" w14:textId="77777777" w:rsidR="00F00C42" w:rsidRPr="000548C9" w:rsidRDefault="00F00C42" w:rsidP="005509A4">
            <w:pPr>
              <w:pStyle w:val="Numbered"/>
              <w:numPr>
                <w:ilvl w:val="0"/>
                <w:numId w:val="0"/>
              </w:numPr>
              <w:spacing w:before="0"/>
              <w:rPr>
                <w:sz w:val="20"/>
                <w:szCs w:val="20"/>
              </w:rPr>
            </w:pPr>
          </w:p>
        </w:tc>
        <w:tc>
          <w:tcPr>
            <w:tcW w:w="3969" w:type="dxa"/>
            <w:shd w:val="clear" w:color="auto" w:fill="auto"/>
          </w:tcPr>
          <w:p w14:paraId="3A88A52E" w14:textId="23D6D560" w:rsidR="00F00C42" w:rsidRPr="000548C9" w:rsidRDefault="00F00C42" w:rsidP="007D2B74">
            <w:pPr>
              <w:pStyle w:val="Numbered"/>
              <w:numPr>
                <w:ilvl w:val="0"/>
                <w:numId w:val="0"/>
              </w:numPr>
              <w:spacing w:before="0"/>
              <w:rPr>
                <w:sz w:val="20"/>
                <w:szCs w:val="20"/>
              </w:rPr>
            </w:pPr>
          </w:p>
        </w:tc>
      </w:tr>
      <w:tr w:rsidR="00F00C42" w14:paraId="2EFEE5BE" w14:textId="77777777" w:rsidTr="00112B34">
        <w:trPr>
          <w:trHeight w:val="147"/>
        </w:trPr>
        <w:tc>
          <w:tcPr>
            <w:tcW w:w="3119" w:type="dxa"/>
          </w:tcPr>
          <w:p w14:paraId="613019D4" w14:textId="77777777" w:rsidR="00F00C42" w:rsidRPr="000548C9" w:rsidRDefault="00F00C42" w:rsidP="005509A4">
            <w:pPr>
              <w:pStyle w:val="Numbered"/>
              <w:numPr>
                <w:ilvl w:val="0"/>
                <w:numId w:val="0"/>
              </w:numPr>
              <w:spacing w:before="0"/>
              <w:rPr>
                <w:sz w:val="20"/>
                <w:szCs w:val="20"/>
              </w:rPr>
            </w:pPr>
            <w:r w:rsidRPr="000548C9">
              <w:rPr>
                <w:sz w:val="20"/>
                <w:szCs w:val="20"/>
              </w:rPr>
              <w:t>Product ranging and shelf allocation</w:t>
            </w:r>
          </w:p>
        </w:tc>
        <w:tc>
          <w:tcPr>
            <w:tcW w:w="567" w:type="dxa"/>
          </w:tcPr>
          <w:p w14:paraId="0D5BD49A" w14:textId="77777777" w:rsidR="00F00C42" w:rsidRPr="000548C9" w:rsidRDefault="00F00C42" w:rsidP="005509A4">
            <w:pPr>
              <w:pStyle w:val="Numbered"/>
              <w:numPr>
                <w:ilvl w:val="0"/>
                <w:numId w:val="0"/>
              </w:numPr>
              <w:spacing w:before="0"/>
              <w:rPr>
                <w:sz w:val="20"/>
                <w:szCs w:val="20"/>
              </w:rPr>
            </w:pPr>
          </w:p>
        </w:tc>
        <w:tc>
          <w:tcPr>
            <w:tcW w:w="709" w:type="dxa"/>
            <w:shd w:val="clear" w:color="auto" w:fill="FFC399" w:themeFill="accent5" w:themeFillTint="66"/>
          </w:tcPr>
          <w:p w14:paraId="16F7D1B8" w14:textId="77777777" w:rsidR="00F00C42" w:rsidRPr="000548C9" w:rsidRDefault="00F00C42" w:rsidP="005509A4">
            <w:pPr>
              <w:pStyle w:val="Numbered"/>
              <w:numPr>
                <w:ilvl w:val="0"/>
                <w:numId w:val="0"/>
              </w:numPr>
              <w:spacing w:before="0"/>
              <w:rPr>
                <w:sz w:val="20"/>
                <w:szCs w:val="20"/>
              </w:rPr>
            </w:pPr>
          </w:p>
        </w:tc>
        <w:tc>
          <w:tcPr>
            <w:tcW w:w="850" w:type="dxa"/>
            <w:shd w:val="clear" w:color="auto" w:fill="auto"/>
          </w:tcPr>
          <w:p w14:paraId="3C35350B"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6040BF7C" w14:textId="0B83AD59" w:rsidR="00F00C42" w:rsidRPr="000548C9" w:rsidRDefault="00F00C42" w:rsidP="007D2B74">
            <w:pPr>
              <w:pStyle w:val="Numbered"/>
              <w:numPr>
                <w:ilvl w:val="0"/>
                <w:numId w:val="0"/>
              </w:numPr>
              <w:spacing w:before="0"/>
              <w:rPr>
                <w:sz w:val="20"/>
                <w:szCs w:val="20"/>
              </w:rPr>
            </w:pPr>
            <w:r w:rsidRPr="000548C9">
              <w:rPr>
                <w:sz w:val="20"/>
                <w:szCs w:val="20"/>
              </w:rPr>
              <w:t>Require consistent treatment of all suppliers</w:t>
            </w:r>
            <w:r>
              <w:rPr>
                <w:sz w:val="20"/>
                <w:szCs w:val="20"/>
              </w:rPr>
              <w:t>.</w:t>
            </w:r>
          </w:p>
        </w:tc>
      </w:tr>
      <w:tr w:rsidR="00F00C42" w14:paraId="575672A6" w14:textId="77777777" w:rsidTr="00112B34">
        <w:trPr>
          <w:trHeight w:val="70"/>
        </w:trPr>
        <w:tc>
          <w:tcPr>
            <w:tcW w:w="3119" w:type="dxa"/>
          </w:tcPr>
          <w:p w14:paraId="0B1C8C22" w14:textId="77777777" w:rsidR="00F00C42" w:rsidRPr="000548C9" w:rsidRDefault="00F00C42" w:rsidP="005509A4">
            <w:pPr>
              <w:pStyle w:val="Numbered"/>
              <w:numPr>
                <w:ilvl w:val="0"/>
                <w:numId w:val="0"/>
              </w:numPr>
              <w:spacing w:before="0"/>
              <w:rPr>
                <w:sz w:val="20"/>
                <w:szCs w:val="20"/>
              </w:rPr>
            </w:pPr>
            <w:r w:rsidRPr="000548C9">
              <w:rPr>
                <w:sz w:val="20"/>
                <w:szCs w:val="20"/>
              </w:rPr>
              <w:t>Range reviews</w:t>
            </w:r>
          </w:p>
        </w:tc>
        <w:tc>
          <w:tcPr>
            <w:tcW w:w="567" w:type="dxa"/>
          </w:tcPr>
          <w:p w14:paraId="6138B2C4" w14:textId="77777777" w:rsidR="00F00C42" w:rsidRPr="000548C9" w:rsidRDefault="00F00C42" w:rsidP="005509A4">
            <w:pPr>
              <w:pStyle w:val="Numbered"/>
              <w:numPr>
                <w:ilvl w:val="0"/>
                <w:numId w:val="0"/>
              </w:numPr>
              <w:spacing w:before="0"/>
              <w:rPr>
                <w:sz w:val="20"/>
                <w:szCs w:val="20"/>
              </w:rPr>
            </w:pPr>
          </w:p>
        </w:tc>
        <w:tc>
          <w:tcPr>
            <w:tcW w:w="709" w:type="dxa"/>
            <w:shd w:val="clear" w:color="auto" w:fill="FFC399" w:themeFill="accent5" w:themeFillTint="66"/>
          </w:tcPr>
          <w:p w14:paraId="572EEECE" w14:textId="77777777" w:rsidR="00F00C42" w:rsidRPr="000548C9" w:rsidRDefault="00F00C42" w:rsidP="005509A4">
            <w:pPr>
              <w:pStyle w:val="Numbered"/>
              <w:numPr>
                <w:ilvl w:val="0"/>
                <w:numId w:val="0"/>
              </w:numPr>
              <w:spacing w:before="0"/>
              <w:rPr>
                <w:sz w:val="20"/>
                <w:szCs w:val="20"/>
              </w:rPr>
            </w:pPr>
          </w:p>
        </w:tc>
        <w:tc>
          <w:tcPr>
            <w:tcW w:w="850" w:type="dxa"/>
            <w:shd w:val="clear" w:color="auto" w:fill="auto"/>
          </w:tcPr>
          <w:p w14:paraId="3E8C3A5D"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24A7E059" w14:textId="1D71C5D1" w:rsidR="00F00C42" w:rsidRPr="000548C9" w:rsidRDefault="00F00C42" w:rsidP="007D2B74">
            <w:pPr>
              <w:pStyle w:val="Numbered"/>
              <w:numPr>
                <w:ilvl w:val="0"/>
                <w:numId w:val="0"/>
              </w:numPr>
              <w:spacing w:before="0"/>
              <w:rPr>
                <w:sz w:val="20"/>
                <w:szCs w:val="20"/>
              </w:rPr>
            </w:pPr>
            <w:r w:rsidRPr="000548C9">
              <w:rPr>
                <w:sz w:val="20"/>
                <w:szCs w:val="20"/>
              </w:rPr>
              <w:t>Provide advance notice</w:t>
            </w:r>
            <w:r>
              <w:rPr>
                <w:sz w:val="20"/>
                <w:szCs w:val="20"/>
              </w:rPr>
              <w:t>.</w:t>
            </w:r>
          </w:p>
        </w:tc>
      </w:tr>
      <w:tr w:rsidR="00F00C42" w14:paraId="2E38FE38" w14:textId="77777777" w:rsidTr="00112B34">
        <w:trPr>
          <w:trHeight w:val="410"/>
        </w:trPr>
        <w:tc>
          <w:tcPr>
            <w:tcW w:w="3119" w:type="dxa"/>
          </w:tcPr>
          <w:p w14:paraId="05B14281" w14:textId="77777777" w:rsidR="00F00C42" w:rsidRPr="000548C9" w:rsidRDefault="00F00C42" w:rsidP="005509A4">
            <w:pPr>
              <w:pStyle w:val="Numbered"/>
              <w:numPr>
                <w:ilvl w:val="0"/>
                <w:numId w:val="0"/>
              </w:numPr>
              <w:spacing w:before="0"/>
              <w:rPr>
                <w:sz w:val="20"/>
                <w:szCs w:val="20"/>
              </w:rPr>
            </w:pPr>
            <w:r w:rsidRPr="000548C9">
              <w:rPr>
                <w:sz w:val="20"/>
                <w:szCs w:val="20"/>
              </w:rPr>
              <w:t xml:space="preserve">Delisting </w:t>
            </w:r>
          </w:p>
        </w:tc>
        <w:tc>
          <w:tcPr>
            <w:tcW w:w="567" w:type="dxa"/>
          </w:tcPr>
          <w:p w14:paraId="7C50FC91" w14:textId="77777777" w:rsidR="00F00C42" w:rsidRPr="000548C9" w:rsidRDefault="00F00C42" w:rsidP="005509A4">
            <w:pPr>
              <w:pStyle w:val="Numbered"/>
              <w:numPr>
                <w:ilvl w:val="0"/>
                <w:numId w:val="0"/>
              </w:numPr>
              <w:spacing w:before="0"/>
              <w:rPr>
                <w:sz w:val="20"/>
                <w:szCs w:val="20"/>
              </w:rPr>
            </w:pPr>
          </w:p>
        </w:tc>
        <w:tc>
          <w:tcPr>
            <w:tcW w:w="709" w:type="dxa"/>
            <w:shd w:val="clear" w:color="auto" w:fill="FFC399" w:themeFill="accent5" w:themeFillTint="66"/>
          </w:tcPr>
          <w:p w14:paraId="49F63F3C" w14:textId="77777777" w:rsidR="00F00C42" w:rsidRPr="000548C9" w:rsidRDefault="00F00C42" w:rsidP="005509A4">
            <w:pPr>
              <w:pStyle w:val="Numbered"/>
              <w:numPr>
                <w:ilvl w:val="0"/>
                <w:numId w:val="0"/>
              </w:numPr>
              <w:spacing w:before="0"/>
              <w:rPr>
                <w:sz w:val="20"/>
                <w:szCs w:val="20"/>
              </w:rPr>
            </w:pPr>
          </w:p>
        </w:tc>
        <w:tc>
          <w:tcPr>
            <w:tcW w:w="850" w:type="dxa"/>
            <w:shd w:val="clear" w:color="auto" w:fill="auto"/>
          </w:tcPr>
          <w:p w14:paraId="06E4C4AE"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5CBF33F4" w14:textId="1491E7B2" w:rsidR="00F00C42" w:rsidRPr="000548C9" w:rsidRDefault="00112B34" w:rsidP="007D2B74">
            <w:pPr>
              <w:pStyle w:val="Numbered"/>
              <w:numPr>
                <w:ilvl w:val="0"/>
                <w:numId w:val="0"/>
              </w:numPr>
              <w:spacing w:before="0"/>
              <w:rPr>
                <w:sz w:val="20"/>
                <w:szCs w:val="20"/>
              </w:rPr>
            </w:pPr>
            <w:r>
              <w:rPr>
                <w:sz w:val="20"/>
                <w:szCs w:val="20"/>
              </w:rPr>
              <w:t>G</w:t>
            </w:r>
            <w:r w:rsidRPr="000548C9">
              <w:rPr>
                <w:sz w:val="20"/>
                <w:szCs w:val="20"/>
              </w:rPr>
              <w:t>enuine commercial reasons</w:t>
            </w:r>
            <w:r>
              <w:rPr>
                <w:sz w:val="20"/>
                <w:szCs w:val="20"/>
              </w:rPr>
              <w:t>, and w</w:t>
            </w:r>
            <w:r w:rsidRPr="000548C9">
              <w:rPr>
                <w:sz w:val="20"/>
                <w:szCs w:val="20"/>
              </w:rPr>
              <w:t>ritten notice with time to engage dispute resolution</w:t>
            </w:r>
            <w:r>
              <w:rPr>
                <w:sz w:val="20"/>
                <w:szCs w:val="20"/>
              </w:rPr>
              <w:t>.</w:t>
            </w:r>
            <w:r>
              <w:rPr>
                <w:sz w:val="20"/>
                <w:szCs w:val="20"/>
              </w:rPr>
              <w:br/>
              <w:t xml:space="preserve">Must </w:t>
            </w:r>
            <w:r w:rsidR="00F00C42" w:rsidRPr="000548C9">
              <w:rPr>
                <w:sz w:val="20"/>
                <w:szCs w:val="20"/>
              </w:rPr>
              <w:t>not occur prior to range review</w:t>
            </w:r>
            <w:r w:rsidR="00F00C42">
              <w:rPr>
                <w:sz w:val="20"/>
                <w:szCs w:val="20"/>
              </w:rPr>
              <w:t>.</w:t>
            </w:r>
          </w:p>
        </w:tc>
      </w:tr>
      <w:tr w:rsidR="00F00C42" w14:paraId="06A266D5" w14:textId="77777777" w:rsidTr="00112B34">
        <w:trPr>
          <w:trHeight w:val="733"/>
        </w:trPr>
        <w:tc>
          <w:tcPr>
            <w:tcW w:w="3119" w:type="dxa"/>
          </w:tcPr>
          <w:p w14:paraId="775946DC" w14:textId="77777777" w:rsidR="00F00C42" w:rsidRPr="000548C9" w:rsidRDefault="00F00C42" w:rsidP="005509A4">
            <w:pPr>
              <w:pStyle w:val="Numbered"/>
              <w:numPr>
                <w:ilvl w:val="0"/>
                <w:numId w:val="0"/>
              </w:numPr>
              <w:spacing w:before="0"/>
              <w:rPr>
                <w:sz w:val="20"/>
                <w:szCs w:val="20"/>
              </w:rPr>
            </w:pPr>
            <w:r w:rsidRPr="000548C9">
              <w:rPr>
                <w:sz w:val="20"/>
                <w:szCs w:val="20"/>
              </w:rPr>
              <w:t>Confidential information, intellectual property</w:t>
            </w:r>
          </w:p>
        </w:tc>
        <w:tc>
          <w:tcPr>
            <w:tcW w:w="567" w:type="dxa"/>
          </w:tcPr>
          <w:p w14:paraId="37004D79" w14:textId="77777777" w:rsidR="00F00C42" w:rsidRPr="000548C9" w:rsidRDefault="00F00C42" w:rsidP="005509A4">
            <w:pPr>
              <w:pStyle w:val="Numbered"/>
              <w:numPr>
                <w:ilvl w:val="0"/>
                <w:numId w:val="0"/>
              </w:numPr>
              <w:spacing w:before="0"/>
              <w:rPr>
                <w:sz w:val="20"/>
                <w:szCs w:val="20"/>
              </w:rPr>
            </w:pPr>
          </w:p>
        </w:tc>
        <w:tc>
          <w:tcPr>
            <w:tcW w:w="709" w:type="dxa"/>
          </w:tcPr>
          <w:p w14:paraId="21A8F5FF" w14:textId="77777777" w:rsidR="00F00C42" w:rsidRPr="000548C9" w:rsidRDefault="00F00C42" w:rsidP="005509A4">
            <w:pPr>
              <w:pStyle w:val="Numbered"/>
              <w:numPr>
                <w:ilvl w:val="0"/>
                <w:numId w:val="0"/>
              </w:numPr>
              <w:spacing w:before="0"/>
              <w:rPr>
                <w:sz w:val="20"/>
                <w:szCs w:val="20"/>
              </w:rPr>
            </w:pPr>
          </w:p>
        </w:tc>
        <w:tc>
          <w:tcPr>
            <w:tcW w:w="850" w:type="dxa"/>
            <w:shd w:val="clear" w:color="auto" w:fill="FFC399" w:themeFill="accent5" w:themeFillTint="66"/>
          </w:tcPr>
          <w:p w14:paraId="69F205B6" w14:textId="77777777" w:rsidR="00F00C42" w:rsidRPr="000548C9" w:rsidRDefault="00F00C42" w:rsidP="005509A4">
            <w:pPr>
              <w:pStyle w:val="Numbered"/>
              <w:numPr>
                <w:ilvl w:val="0"/>
                <w:numId w:val="0"/>
              </w:numPr>
              <w:spacing w:before="0"/>
              <w:rPr>
                <w:sz w:val="20"/>
                <w:szCs w:val="20"/>
              </w:rPr>
            </w:pPr>
          </w:p>
        </w:tc>
        <w:tc>
          <w:tcPr>
            <w:tcW w:w="3969" w:type="dxa"/>
            <w:shd w:val="clear" w:color="auto" w:fill="FFE1CC" w:themeFill="accent5" w:themeFillTint="33"/>
          </w:tcPr>
          <w:p w14:paraId="04D1FB4D" w14:textId="3D95C9F1" w:rsidR="00F00C42" w:rsidRPr="00B77657" w:rsidRDefault="00112B34" w:rsidP="00112B34">
            <w:pPr>
              <w:pStyle w:val="Numbered"/>
              <w:numPr>
                <w:ilvl w:val="0"/>
                <w:numId w:val="0"/>
              </w:numPr>
              <w:spacing w:before="0"/>
              <w:rPr>
                <w:sz w:val="20"/>
                <w:szCs w:val="20"/>
              </w:rPr>
            </w:pPr>
            <w:r>
              <w:rPr>
                <w:sz w:val="20"/>
                <w:szCs w:val="20"/>
              </w:rPr>
              <w:t>H</w:t>
            </w:r>
            <w:r w:rsidR="00F00C42">
              <w:rPr>
                <w:sz w:val="20"/>
                <w:szCs w:val="20"/>
              </w:rPr>
              <w:t>old in confidence and not use beyond intended purpose. Require recognition of intellectual property that is a taonga.</w:t>
            </w:r>
          </w:p>
        </w:tc>
      </w:tr>
      <w:tr w:rsidR="00F00C42" w14:paraId="2BA2FDB0" w14:textId="77777777" w:rsidTr="00112B34">
        <w:trPr>
          <w:trHeight w:val="346"/>
        </w:trPr>
        <w:tc>
          <w:tcPr>
            <w:tcW w:w="3119" w:type="dxa"/>
          </w:tcPr>
          <w:p w14:paraId="4F98945E" w14:textId="77777777" w:rsidR="00F00C42" w:rsidRPr="000548C9" w:rsidRDefault="00F00C42" w:rsidP="005509A4">
            <w:pPr>
              <w:pStyle w:val="Numbered"/>
              <w:numPr>
                <w:ilvl w:val="0"/>
                <w:numId w:val="0"/>
              </w:numPr>
              <w:spacing w:before="0"/>
              <w:rPr>
                <w:sz w:val="20"/>
                <w:szCs w:val="20"/>
              </w:rPr>
            </w:pPr>
            <w:r w:rsidRPr="000548C9">
              <w:rPr>
                <w:sz w:val="20"/>
                <w:szCs w:val="20"/>
              </w:rPr>
              <w:t>Business disruptions and freedom of association</w:t>
            </w:r>
          </w:p>
        </w:tc>
        <w:tc>
          <w:tcPr>
            <w:tcW w:w="567" w:type="dxa"/>
          </w:tcPr>
          <w:p w14:paraId="2B80B2A4" w14:textId="77777777" w:rsidR="00F00C42" w:rsidRPr="000548C9" w:rsidRDefault="00F00C42" w:rsidP="005509A4">
            <w:pPr>
              <w:pStyle w:val="Numbered"/>
              <w:numPr>
                <w:ilvl w:val="0"/>
                <w:numId w:val="0"/>
              </w:numPr>
              <w:spacing w:before="0"/>
              <w:rPr>
                <w:sz w:val="20"/>
                <w:szCs w:val="20"/>
              </w:rPr>
            </w:pPr>
          </w:p>
        </w:tc>
        <w:tc>
          <w:tcPr>
            <w:tcW w:w="709" w:type="dxa"/>
          </w:tcPr>
          <w:p w14:paraId="035204EA" w14:textId="77777777" w:rsidR="00F00C42" w:rsidRPr="000548C9" w:rsidRDefault="00F00C42" w:rsidP="005509A4">
            <w:pPr>
              <w:pStyle w:val="Numbered"/>
              <w:numPr>
                <w:ilvl w:val="0"/>
                <w:numId w:val="0"/>
              </w:numPr>
              <w:spacing w:before="0"/>
              <w:rPr>
                <w:sz w:val="20"/>
                <w:szCs w:val="20"/>
              </w:rPr>
            </w:pPr>
          </w:p>
        </w:tc>
        <w:tc>
          <w:tcPr>
            <w:tcW w:w="850" w:type="dxa"/>
            <w:shd w:val="clear" w:color="auto" w:fill="FFC399" w:themeFill="accent5" w:themeFillTint="66"/>
          </w:tcPr>
          <w:p w14:paraId="7C93357C" w14:textId="77777777" w:rsidR="00F00C42" w:rsidRPr="000548C9" w:rsidRDefault="00F00C42" w:rsidP="005509A4">
            <w:pPr>
              <w:pStyle w:val="Numbered"/>
              <w:numPr>
                <w:ilvl w:val="0"/>
                <w:numId w:val="0"/>
              </w:numPr>
              <w:spacing w:before="0"/>
              <w:rPr>
                <w:sz w:val="20"/>
                <w:szCs w:val="20"/>
              </w:rPr>
            </w:pPr>
          </w:p>
        </w:tc>
        <w:tc>
          <w:tcPr>
            <w:tcW w:w="3969" w:type="dxa"/>
          </w:tcPr>
          <w:p w14:paraId="3677C3E5" w14:textId="5A36057F" w:rsidR="00F00C42" w:rsidRPr="000548C9" w:rsidRDefault="00F00C42" w:rsidP="007D2B74">
            <w:pPr>
              <w:pStyle w:val="Numbered"/>
              <w:numPr>
                <w:ilvl w:val="0"/>
                <w:numId w:val="0"/>
              </w:numPr>
              <w:spacing w:before="0"/>
              <w:rPr>
                <w:sz w:val="20"/>
                <w:szCs w:val="20"/>
              </w:rPr>
            </w:pPr>
          </w:p>
        </w:tc>
      </w:tr>
      <w:tr w:rsidR="00F00C42" w14:paraId="0662A29A" w14:textId="77777777" w:rsidTr="00112B34">
        <w:trPr>
          <w:trHeight w:val="70"/>
        </w:trPr>
        <w:tc>
          <w:tcPr>
            <w:tcW w:w="3119" w:type="dxa"/>
          </w:tcPr>
          <w:p w14:paraId="21550F80" w14:textId="1A5DEADB" w:rsidR="00F00C42" w:rsidRPr="000548C9" w:rsidRDefault="00435241" w:rsidP="005509A4">
            <w:pPr>
              <w:pStyle w:val="Numbered"/>
              <w:numPr>
                <w:ilvl w:val="0"/>
                <w:numId w:val="0"/>
              </w:numPr>
              <w:spacing w:before="0"/>
              <w:rPr>
                <w:sz w:val="20"/>
                <w:szCs w:val="20"/>
              </w:rPr>
            </w:pPr>
            <w:r w:rsidRPr="000548C9">
              <w:rPr>
                <w:sz w:val="20"/>
                <w:szCs w:val="20"/>
              </w:rPr>
              <w:t>Whistle-blower</w:t>
            </w:r>
            <w:r w:rsidR="00F00C42" w:rsidRPr="000548C9">
              <w:rPr>
                <w:sz w:val="20"/>
                <w:szCs w:val="20"/>
              </w:rPr>
              <w:t xml:space="preserve"> protections</w:t>
            </w:r>
          </w:p>
        </w:tc>
        <w:tc>
          <w:tcPr>
            <w:tcW w:w="567" w:type="dxa"/>
          </w:tcPr>
          <w:p w14:paraId="574059FF" w14:textId="77777777" w:rsidR="00F00C42" w:rsidRPr="000548C9" w:rsidRDefault="00F00C42" w:rsidP="005509A4">
            <w:pPr>
              <w:pStyle w:val="Numbered"/>
              <w:numPr>
                <w:ilvl w:val="0"/>
                <w:numId w:val="0"/>
              </w:numPr>
              <w:spacing w:before="0"/>
              <w:rPr>
                <w:sz w:val="20"/>
                <w:szCs w:val="20"/>
              </w:rPr>
            </w:pPr>
          </w:p>
        </w:tc>
        <w:tc>
          <w:tcPr>
            <w:tcW w:w="709" w:type="dxa"/>
          </w:tcPr>
          <w:p w14:paraId="5AC963D3" w14:textId="77777777" w:rsidR="00F00C42" w:rsidRPr="000548C9" w:rsidRDefault="00F00C42" w:rsidP="005509A4">
            <w:pPr>
              <w:pStyle w:val="Numbered"/>
              <w:numPr>
                <w:ilvl w:val="0"/>
                <w:numId w:val="0"/>
              </w:numPr>
              <w:spacing w:before="0"/>
              <w:rPr>
                <w:sz w:val="20"/>
                <w:szCs w:val="20"/>
              </w:rPr>
            </w:pPr>
          </w:p>
        </w:tc>
        <w:tc>
          <w:tcPr>
            <w:tcW w:w="850" w:type="dxa"/>
            <w:shd w:val="clear" w:color="auto" w:fill="FFC399" w:themeFill="accent5" w:themeFillTint="66"/>
          </w:tcPr>
          <w:p w14:paraId="7B078DD6" w14:textId="77777777" w:rsidR="00F00C42" w:rsidRPr="000548C9" w:rsidRDefault="00F00C42" w:rsidP="005509A4">
            <w:pPr>
              <w:pStyle w:val="Numbered"/>
              <w:numPr>
                <w:ilvl w:val="0"/>
                <w:numId w:val="0"/>
              </w:numPr>
              <w:spacing w:before="0"/>
              <w:rPr>
                <w:sz w:val="20"/>
                <w:szCs w:val="20"/>
              </w:rPr>
            </w:pPr>
          </w:p>
        </w:tc>
        <w:tc>
          <w:tcPr>
            <w:tcW w:w="3969" w:type="dxa"/>
          </w:tcPr>
          <w:p w14:paraId="6BD93211" w14:textId="77777777" w:rsidR="00F00C42" w:rsidRPr="000548C9" w:rsidRDefault="00F00C42" w:rsidP="007D2B74">
            <w:pPr>
              <w:pStyle w:val="Numbered"/>
              <w:numPr>
                <w:ilvl w:val="0"/>
                <w:numId w:val="0"/>
              </w:numPr>
              <w:spacing w:before="0"/>
              <w:rPr>
                <w:sz w:val="20"/>
                <w:szCs w:val="20"/>
              </w:rPr>
            </w:pPr>
          </w:p>
        </w:tc>
      </w:tr>
    </w:tbl>
    <w:p w14:paraId="52873A4E" w14:textId="77777777" w:rsidR="000548C9" w:rsidRPr="000548C9" w:rsidRDefault="000548C9" w:rsidP="008E27CD">
      <w:pPr>
        <w:pStyle w:val="Numbered"/>
        <w:numPr>
          <w:ilvl w:val="0"/>
          <w:numId w:val="0"/>
        </w:numPr>
        <w:spacing w:before="0" w:after="0"/>
        <w:ind w:left="567" w:hanging="567"/>
      </w:pPr>
    </w:p>
    <w:tbl>
      <w:tblPr>
        <w:tblStyle w:val="TableGrid"/>
        <w:tblW w:w="935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CellMar>
          <w:top w:w="85" w:type="dxa"/>
          <w:bottom w:w="85" w:type="dxa"/>
        </w:tblCellMar>
        <w:tblLook w:val="04A0" w:firstRow="1" w:lastRow="0" w:firstColumn="1" w:lastColumn="0" w:noHBand="0" w:noVBand="1"/>
      </w:tblPr>
      <w:tblGrid>
        <w:gridCol w:w="1134"/>
        <w:gridCol w:w="2268"/>
        <w:gridCol w:w="3270"/>
        <w:gridCol w:w="2683"/>
      </w:tblGrid>
      <w:tr w:rsidR="00720AD8" w:rsidRPr="00D17979" w14:paraId="0115288B" w14:textId="77777777" w:rsidTr="00720AD8">
        <w:trPr>
          <w:trHeight w:val="326"/>
        </w:trPr>
        <w:tc>
          <w:tcPr>
            <w:tcW w:w="1134" w:type="dxa"/>
            <w:shd w:val="clear" w:color="auto" w:fill="D9D9D9" w:themeFill="background1" w:themeFillShade="D9"/>
          </w:tcPr>
          <w:p w14:paraId="03AC9EE8" w14:textId="77777777" w:rsidR="00720AD8" w:rsidRPr="005239EF" w:rsidRDefault="00720AD8" w:rsidP="00720AD8">
            <w:pPr>
              <w:pStyle w:val="Numbered"/>
              <w:numPr>
                <w:ilvl w:val="0"/>
                <w:numId w:val="0"/>
              </w:numPr>
              <w:spacing w:before="0"/>
              <w:rPr>
                <w:b/>
                <w:bCs/>
              </w:rPr>
            </w:pPr>
            <w:bookmarkStart w:id="166" w:name="_Hlk103932213"/>
          </w:p>
        </w:tc>
        <w:tc>
          <w:tcPr>
            <w:tcW w:w="2268" w:type="dxa"/>
            <w:shd w:val="clear" w:color="auto" w:fill="D9D9D9" w:themeFill="background1" w:themeFillShade="D9"/>
          </w:tcPr>
          <w:p w14:paraId="1058EC99" w14:textId="3E8AAF8A" w:rsidR="00720AD8" w:rsidRPr="00D17979" w:rsidRDefault="00720AD8" w:rsidP="00A11949">
            <w:pPr>
              <w:pStyle w:val="Numbered"/>
              <w:numPr>
                <w:ilvl w:val="0"/>
                <w:numId w:val="0"/>
              </w:numPr>
              <w:tabs>
                <w:tab w:val="left" w:pos="1428"/>
              </w:tabs>
              <w:spacing w:before="0"/>
              <w:rPr>
                <w:b/>
                <w:bCs/>
              </w:rPr>
            </w:pPr>
            <w:r w:rsidRPr="00A82B1F">
              <w:rPr>
                <w:b/>
                <w:bCs/>
              </w:rPr>
              <w:t>Option 1 Principle-based Code</w:t>
            </w:r>
          </w:p>
        </w:tc>
        <w:tc>
          <w:tcPr>
            <w:tcW w:w="3270" w:type="dxa"/>
            <w:shd w:val="clear" w:color="auto" w:fill="D9D9D9" w:themeFill="background1" w:themeFillShade="D9"/>
          </w:tcPr>
          <w:p w14:paraId="3E79538B" w14:textId="3C9F54F9" w:rsidR="00720AD8" w:rsidRDefault="00D3390A" w:rsidP="00720AD8">
            <w:pPr>
              <w:pStyle w:val="Numbered"/>
              <w:numPr>
                <w:ilvl w:val="0"/>
                <w:numId w:val="0"/>
              </w:numPr>
              <w:spacing w:before="0"/>
              <w:rPr>
                <w:b/>
                <w:bCs/>
              </w:rPr>
            </w:pPr>
            <w:r w:rsidRPr="00D3390A">
              <w:rPr>
                <w:b/>
                <w:bCs/>
              </w:rPr>
              <w:t>Option 2 Prescriptive Code</w:t>
            </w:r>
          </w:p>
        </w:tc>
        <w:tc>
          <w:tcPr>
            <w:tcW w:w="2683" w:type="dxa"/>
            <w:shd w:val="clear" w:color="auto" w:fill="D9D9D9" w:themeFill="background1" w:themeFillShade="D9"/>
          </w:tcPr>
          <w:p w14:paraId="4F86CA8B" w14:textId="4DBF6CB8" w:rsidR="00720AD8" w:rsidRDefault="00720AD8" w:rsidP="00720AD8">
            <w:pPr>
              <w:pStyle w:val="Numbered"/>
              <w:numPr>
                <w:ilvl w:val="0"/>
                <w:numId w:val="0"/>
              </w:numPr>
              <w:spacing w:before="0"/>
              <w:rPr>
                <w:b/>
                <w:bCs/>
              </w:rPr>
            </w:pPr>
            <w:r w:rsidRPr="00A82B1F">
              <w:rPr>
                <w:b/>
                <w:bCs/>
              </w:rPr>
              <w:t xml:space="preserve">Option 3 </w:t>
            </w:r>
            <w:r w:rsidR="00D3390A" w:rsidRPr="00D3390A">
              <w:rPr>
                <w:b/>
                <w:bCs/>
              </w:rPr>
              <w:t xml:space="preserve">Alternative </w:t>
            </w:r>
            <w:r w:rsidRPr="00A82B1F">
              <w:rPr>
                <w:b/>
                <w:bCs/>
              </w:rPr>
              <w:t>Code</w:t>
            </w:r>
            <w:r w:rsidRPr="00A82B1F">
              <w:rPr>
                <w:sz w:val="20"/>
                <w:szCs w:val="20"/>
              </w:rPr>
              <w:t>.</w:t>
            </w:r>
          </w:p>
        </w:tc>
      </w:tr>
      <w:tr w:rsidR="005402D4" w:rsidRPr="00D17979" w14:paraId="0E056421" w14:textId="77777777" w:rsidTr="00720AD8">
        <w:tc>
          <w:tcPr>
            <w:tcW w:w="1134" w:type="dxa"/>
            <w:shd w:val="clear" w:color="auto" w:fill="D9D9D9" w:themeFill="background1" w:themeFillShade="D9"/>
          </w:tcPr>
          <w:p w14:paraId="23C0FB25" w14:textId="77777777" w:rsidR="005402D4" w:rsidRDefault="005402D4" w:rsidP="00693D9A">
            <w:pPr>
              <w:pStyle w:val="Numbered"/>
              <w:numPr>
                <w:ilvl w:val="0"/>
                <w:numId w:val="0"/>
              </w:numPr>
              <w:spacing w:before="0"/>
              <w:rPr>
                <w:b/>
                <w:bCs/>
              </w:rPr>
            </w:pPr>
            <w:r>
              <w:rPr>
                <w:b/>
                <w:bCs/>
              </w:rPr>
              <w:t>Effective</w:t>
            </w:r>
          </w:p>
          <w:p w14:paraId="3D6F7915" w14:textId="2E3ED300" w:rsidR="005402D4" w:rsidRPr="00D17979" w:rsidRDefault="005402D4" w:rsidP="00693D9A">
            <w:pPr>
              <w:pStyle w:val="Numbered"/>
              <w:numPr>
                <w:ilvl w:val="0"/>
                <w:numId w:val="0"/>
              </w:numPr>
              <w:spacing w:before="0"/>
              <w:rPr>
                <w:b/>
                <w:bCs/>
              </w:rPr>
            </w:pPr>
          </w:p>
        </w:tc>
        <w:tc>
          <w:tcPr>
            <w:tcW w:w="2268" w:type="dxa"/>
            <w:shd w:val="clear" w:color="auto" w:fill="D9D9D9" w:themeFill="background1" w:themeFillShade="D9"/>
          </w:tcPr>
          <w:p w14:paraId="7884FA46" w14:textId="71692AE0" w:rsidR="005402D4" w:rsidRPr="005402D4" w:rsidRDefault="005402D4" w:rsidP="00693D9A">
            <w:pPr>
              <w:pStyle w:val="Numbered"/>
              <w:numPr>
                <w:ilvl w:val="0"/>
                <w:numId w:val="0"/>
              </w:numPr>
              <w:spacing w:before="0"/>
              <w:rPr>
                <w:sz w:val="20"/>
                <w:szCs w:val="20"/>
              </w:rPr>
            </w:pPr>
            <w:r w:rsidRPr="005402D4">
              <w:rPr>
                <w:sz w:val="20"/>
                <w:szCs w:val="20"/>
              </w:rPr>
              <w:t>+1</w:t>
            </w:r>
            <w:r w:rsidR="00112B34">
              <w:rPr>
                <w:sz w:val="20"/>
                <w:szCs w:val="20"/>
              </w:rPr>
              <w:t>.5</w:t>
            </w:r>
          </w:p>
          <w:p w14:paraId="20823748" w14:textId="5D72597D" w:rsidR="005402D4" w:rsidRPr="005402D4" w:rsidRDefault="00720AD8" w:rsidP="00693D9A">
            <w:pPr>
              <w:pStyle w:val="Numbered"/>
              <w:numPr>
                <w:ilvl w:val="0"/>
                <w:numId w:val="0"/>
              </w:numPr>
              <w:spacing w:before="0"/>
              <w:rPr>
                <w:sz w:val="20"/>
                <w:szCs w:val="20"/>
              </w:rPr>
            </w:pPr>
            <w:r>
              <w:rPr>
                <w:sz w:val="20"/>
                <w:szCs w:val="20"/>
              </w:rPr>
              <w:t>C</w:t>
            </w:r>
            <w:r w:rsidR="005402D4" w:rsidRPr="005402D4">
              <w:rPr>
                <w:sz w:val="20"/>
                <w:szCs w:val="20"/>
              </w:rPr>
              <w:t>lear provisions that will contribute to promoting competition</w:t>
            </w:r>
            <w:r w:rsidR="0048555A">
              <w:rPr>
                <w:sz w:val="20"/>
                <w:szCs w:val="20"/>
              </w:rPr>
              <w:t>.</w:t>
            </w:r>
            <w:r w:rsidR="005402D4" w:rsidRPr="005402D4">
              <w:rPr>
                <w:sz w:val="20"/>
                <w:szCs w:val="20"/>
              </w:rPr>
              <w:t xml:space="preserve">  </w:t>
            </w:r>
          </w:p>
        </w:tc>
        <w:tc>
          <w:tcPr>
            <w:tcW w:w="3270" w:type="dxa"/>
            <w:shd w:val="clear" w:color="auto" w:fill="D9D9D9" w:themeFill="background1" w:themeFillShade="D9"/>
          </w:tcPr>
          <w:p w14:paraId="3E8F95B4" w14:textId="77777777" w:rsidR="005402D4" w:rsidRPr="005402D4" w:rsidRDefault="005402D4" w:rsidP="00693D9A">
            <w:pPr>
              <w:pStyle w:val="Numbered"/>
              <w:numPr>
                <w:ilvl w:val="0"/>
                <w:numId w:val="0"/>
              </w:numPr>
              <w:spacing w:before="0"/>
              <w:rPr>
                <w:sz w:val="20"/>
                <w:szCs w:val="20"/>
              </w:rPr>
            </w:pPr>
            <w:r w:rsidRPr="005402D4">
              <w:rPr>
                <w:sz w:val="20"/>
                <w:szCs w:val="20"/>
              </w:rPr>
              <w:t>+2</w:t>
            </w:r>
          </w:p>
          <w:p w14:paraId="256EFE59" w14:textId="06E003F4" w:rsidR="005402D4" w:rsidRPr="005402D4" w:rsidRDefault="005402D4" w:rsidP="00693D9A">
            <w:pPr>
              <w:pStyle w:val="Numbered"/>
              <w:numPr>
                <w:ilvl w:val="0"/>
                <w:numId w:val="0"/>
              </w:numPr>
              <w:spacing w:before="0"/>
              <w:rPr>
                <w:sz w:val="20"/>
                <w:szCs w:val="20"/>
              </w:rPr>
            </w:pPr>
            <w:r w:rsidRPr="005402D4">
              <w:rPr>
                <w:sz w:val="20"/>
                <w:szCs w:val="20"/>
              </w:rPr>
              <w:t>Clear regulation provides certainty for suppliers and protects them from possible costs from unilateral changes in supply chain processes</w:t>
            </w:r>
            <w:r w:rsidR="0048555A">
              <w:rPr>
                <w:sz w:val="20"/>
                <w:szCs w:val="20"/>
              </w:rPr>
              <w:t>.</w:t>
            </w:r>
            <w:r w:rsidRPr="005402D4">
              <w:rPr>
                <w:sz w:val="20"/>
                <w:szCs w:val="20"/>
              </w:rPr>
              <w:t xml:space="preserve"> </w:t>
            </w:r>
          </w:p>
        </w:tc>
        <w:tc>
          <w:tcPr>
            <w:tcW w:w="2683" w:type="dxa"/>
            <w:shd w:val="clear" w:color="auto" w:fill="D9D9D9" w:themeFill="background1" w:themeFillShade="D9"/>
          </w:tcPr>
          <w:p w14:paraId="2E205BA6" w14:textId="7BB6D886" w:rsidR="005402D4" w:rsidRPr="005402D4" w:rsidRDefault="005402D4" w:rsidP="00693D9A">
            <w:pPr>
              <w:pStyle w:val="Numbered"/>
              <w:numPr>
                <w:ilvl w:val="0"/>
                <w:numId w:val="0"/>
              </w:numPr>
              <w:spacing w:before="0"/>
              <w:rPr>
                <w:sz w:val="20"/>
                <w:szCs w:val="20"/>
              </w:rPr>
            </w:pPr>
            <w:r w:rsidRPr="005402D4">
              <w:rPr>
                <w:sz w:val="20"/>
                <w:szCs w:val="20"/>
              </w:rPr>
              <w:t>+2</w:t>
            </w:r>
            <w:r w:rsidR="00720AD8">
              <w:rPr>
                <w:sz w:val="20"/>
                <w:szCs w:val="20"/>
              </w:rPr>
              <w:t>.5</w:t>
            </w:r>
          </w:p>
          <w:p w14:paraId="2A68B570" w14:textId="5B045E90" w:rsidR="005402D4" w:rsidRPr="005402D4" w:rsidRDefault="00720AD8" w:rsidP="00693D9A">
            <w:pPr>
              <w:pStyle w:val="Numbered"/>
              <w:numPr>
                <w:ilvl w:val="0"/>
                <w:numId w:val="0"/>
              </w:numPr>
              <w:spacing w:before="0"/>
              <w:rPr>
                <w:sz w:val="20"/>
                <w:szCs w:val="20"/>
              </w:rPr>
            </w:pPr>
            <w:r>
              <w:rPr>
                <w:sz w:val="20"/>
                <w:szCs w:val="20"/>
              </w:rPr>
              <w:t>Improved protection for suppliers from more transparent processes or certainty of terms of supply</w:t>
            </w:r>
            <w:r w:rsidR="0048555A">
              <w:rPr>
                <w:sz w:val="20"/>
                <w:szCs w:val="20"/>
              </w:rPr>
              <w:t>.</w:t>
            </w:r>
          </w:p>
        </w:tc>
      </w:tr>
      <w:tr w:rsidR="005402D4" w:rsidRPr="00D17979" w14:paraId="2B650D7C" w14:textId="77777777" w:rsidTr="00720AD8">
        <w:tc>
          <w:tcPr>
            <w:tcW w:w="1134" w:type="dxa"/>
            <w:shd w:val="clear" w:color="auto" w:fill="D9D9D9" w:themeFill="background1" w:themeFillShade="D9"/>
          </w:tcPr>
          <w:p w14:paraId="7FDF02AD" w14:textId="77777777" w:rsidR="005402D4" w:rsidRDefault="005402D4" w:rsidP="00693D9A">
            <w:pPr>
              <w:pStyle w:val="Numbered"/>
              <w:numPr>
                <w:ilvl w:val="0"/>
                <w:numId w:val="0"/>
              </w:numPr>
              <w:spacing w:before="0"/>
              <w:rPr>
                <w:i/>
                <w:iCs/>
                <w:sz w:val="20"/>
                <w:szCs w:val="20"/>
              </w:rPr>
            </w:pPr>
            <w:r>
              <w:rPr>
                <w:b/>
                <w:bCs/>
              </w:rPr>
              <w:t>Efficient</w:t>
            </w:r>
            <w:r w:rsidRPr="00D17979">
              <w:rPr>
                <w:i/>
                <w:iCs/>
                <w:sz w:val="20"/>
                <w:szCs w:val="20"/>
              </w:rPr>
              <w:t xml:space="preserve"> </w:t>
            </w:r>
          </w:p>
          <w:p w14:paraId="2976ABFF" w14:textId="745C89F6" w:rsidR="005402D4" w:rsidRPr="005239EF" w:rsidRDefault="005402D4" w:rsidP="00693D9A">
            <w:pPr>
              <w:pStyle w:val="Numbered"/>
              <w:numPr>
                <w:ilvl w:val="0"/>
                <w:numId w:val="0"/>
              </w:numPr>
              <w:spacing w:before="0"/>
              <w:rPr>
                <w:b/>
                <w:bCs/>
              </w:rPr>
            </w:pPr>
          </w:p>
        </w:tc>
        <w:tc>
          <w:tcPr>
            <w:tcW w:w="2268" w:type="dxa"/>
            <w:shd w:val="clear" w:color="auto" w:fill="D9D9D9" w:themeFill="background1" w:themeFillShade="D9"/>
          </w:tcPr>
          <w:p w14:paraId="48B126EF" w14:textId="77777777" w:rsidR="005402D4" w:rsidRPr="005402D4" w:rsidRDefault="005402D4" w:rsidP="00693D9A">
            <w:pPr>
              <w:pStyle w:val="Numbered"/>
              <w:numPr>
                <w:ilvl w:val="0"/>
                <w:numId w:val="0"/>
              </w:numPr>
              <w:spacing w:before="0"/>
              <w:rPr>
                <w:sz w:val="20"/>
                <w:szCs w:val="20"/>
              </w:rPr>
            </w:pPr>
            <w:r w:rsidRPr="005402D4">
              <w:rPr>
                <w:sz w:val="20"/>
                <w:szCs w:val="20"/>
              </w:rPr>
              <w:t>-1</w:t>
            </w:r>
          </w:p>
          <w:p w14:paraId="4F2F7BBC" w14:textId="51AC999F" w:rsidR="005402D4" w:rsidRPr="005402D4" w:rsidRDefault="005402D4" w:rsidP="00693D9A">
            <w:pPr>
              <w:pStyle w:val="Numbered"/>
              <w:numPr>
                <w:ilvl w:val="0"/>
                <w:numId w:val="0"/>
              </w:numPr>
              <w:spacing w:before="0"/>
              <w:rPr>
                <w:sz w:val="20"/>
                <w:szCs w:val="20"/>
              </w:rPr>
            </w:pPr>
            <w:r w:rsidRPr="005402D4">
              <w:rPr>
                <w:sz w:val="20"/>
                <w:szCs w:val="20"/>
              </w:rPr>
              <w:t>Obligations around processes of product ranging, range reviews, and delisting will add some time and costs</w:t>
            </w:r>
            <w:r w:rsidR="0048555A">
              <w:rPr>
                <w:sz w:val="20"/>
                <w:szCs w:val="20"/>
              </w:rPr>
              <w:t>.</w:t>
            </w:r>
          </w:p>
        </w:tc>
        <w:tc>
          <w:tcPr>
            <w:tcW w:w="3270" w:type="dxa"/>
            <w:shd w:val="clear" w:color="auto" w:fill="D9D9D9" w:themeFill="background1" w:themeFillShade="D9"/>
          </w:tcPr>
          <w:p w14:paraId="6BAABE20" w14:textId="77777777" w:rsidR="005402D4" w:rsidRPr="005402D4" w:rsidRDefault="005402D4" w:rsidP="00693D9A">
            <w:pPr>
              <w:pStyle w:val="Numbered"/>
              <w:numPr>
                <w:ilvl w:val="0"/>
                <w:numId w:val="0"/>
              </w:numPr>
              <w:spacing w:before="0"/>
              <w:rPr>
                <w:sz w:val="20"/>
                <w:szCs w:val="20"/>
              </w:rPr>
            </w:pPr>
            <w:r w:rsidRPr="005402D4">
              <w:rPr>
                <w:sz w:val="20"/>
                <w:szCs w:val="20"/>
              </w:rPr>
              <w:t>-1</w:t>
            </w:r>
          </w:p>
          <w:p w14:paraId="3169B508" w14:textId="77777777" w:rsidR="005402D4" w:rsidRDefault="005402D4" w:rsidP="00693D9A">
            <w:pPr>
              <w:pStyle w:val="Numbered"/>
              <w:numPr>
                <w:ilvl w:val="0"/>
                <w:numId w:val="0"/>
              </w:numPr>
              <w:spacing w:before="0"/>
              <w:rPr>
                <w:sz w:val="20"/>
                <w:szCs w:val="20"/>
              </w:rPr>
            </w:pPr>
            <w:r w:rsidRPr="005402D4">
              <w:rPr>
                <w:sz w:val="20"/>
                <w:szCs w:val="20"/>
              </w:rPr>
              <w:t>Obligations around processes of product ranging, range reviews, and delisting will add some time and costs</w:t>
            </w:r>
            <w:r w:rsidR="0048555A">
              <w:rPr>
                <w:sz w:val="20"/>
                <w:szCs w:val="20"/>
              </w:rPr>
              <w:t>.</w:t>
            </w:r>
          </w:p>
          <w:p w14:paraId="104CC1DF" w14:textId="2DCA1606" w:rsidR="00112B34" w:rsidRPr="005402D4" w:rsidRDefault="00112B34" w:rsidP="00693D9A">
            <w:pPr>
              <w:pStyle w:val="Numbered"/>
              <w:numPr>
                <w:ilvl w:val="0"/>
                <w:numId w:val="0"/>
              </w:numPr>
              <w:spacing w:before="0"/>
              <w:rPr>
                <w:sz w:val="20"/>
                <w:szCs w:val="20"/>
              </w:rPr>
            </w:pPr>
            <w:r>
              <w:rPr>
                <w:sz w:val="20"/>
                <w:szCs w:val="20"/>
              </w:rPr>
              <w:t>Costs relatively evenly shared between designated retailers and suppliers.</w:t>
            </w:r>
          </w:p>
        </w:tc>
        <w:tc>
          <w:tcPr>
            <w:tcW w:w="2683" w:type="dxa"/>
            <w:shd w:val="clear" w:color="auto" w:fill="D9D9D9" w:themeFill="background1" w:themeFillShade="D9"/>
          </w:tcPr>
          <w:p w14:paraId="6BB63F62" w14:textId="53D8D19C" w:rsidR="005402D4" w:rsidRPr="005402D4" w:rsidRDefault="005402D4" w:rsidP="00693D9A">
            <w:pPr>
              <w:pStyle w:val="Numbered"/>
              <w:numPr>
                <w:ilvl w:val="0"/>
                <w:numId w:val="0"/>
              </w:numPr>
              <w:spacing w:before="0"/>
              <w:rPr>
                <w:sz w:val="20"/>
                <w:szCs w:val="20"/>
              </w:rPr>
            </w:pPr>
            <w:r w:rsidRPr="005402D4">
              <w:rPr>
                <w:sz w:val="20"/>
                <w:szCs w:val="20"/>
              </w:rPr>
              <w:t>-</w:t>
            </w:r>
            <w:r w:rsidR="00720AD8">
              <w:rPr>
                <w:sz w:val="20"/>
                <w:szCs w:val="20"/>
              </w:rPr>
              <w:t>1</w:t>
            </w:r>
          </w:p>
          <w:p w14:paraId="32B707DB" w14:textId="77777777" w:rsidR="005402D4" w:rsidRDefault="005402D4" w:rsidP="00693D9A">
            <w:pPr>
              <w:pStyle w:val="Numbered"/>
              <w:numPr>
                <w:ilvl w:val="0"/>
                <w:numId w:val="0"/>
              </w:numPr>
              <w:spacing w:before="0"/>
              <w:rPr>
                <w:sz w:val="20"/>
                <w:szCs w:val="20"/>
              </w:rPr>
            </w:pPr>
            <w:r w:rsidRPr="005402D4">
              <w:rPr>
                <w:sz w:val="20"/>
                <w:szCs w:val="20"/>
              </w:rPr>
              <w:t xml:space="preserve">More detailed provisions will add extra </w:t>
            </w:r>
            <w:r w:rsidR="00720AD8">
              <w:rPr>
                <w:sz w:val="20"/>
                <w:szCs w:val="20"/>
              </w:rPr>
              <w:t xml:space="preserve">compliance </w:t>
            </w:r>
            <w:r w:rsidRPr="005402D4">
              <w:rPr>
                <w:sz w:val="20"/>
                <w:szCs w:val="20"/>
              </w:rPr>
              <w:t>costs</w:t>
            </w:r>
            <w:r w:rsidR="00112B34">
              <w:rPr>
                <w:sz w:val="20"/>
                <w:szCs w:val="20"/>
              </w:rPr>
              <w:t xml:space="preserve"> overall</w:t>
            </w:r>
            <w:r w:rsidR="0048555A">
              <w:rPr>
                <w:sz w:val="20"/>
                <w:szCs w:val="20"/>
              </w:rPr>
              <w:t>.</w:t>
            </w:r>
          </w:p>
          <w:p w14:paraId="49AA755B" w14:textId="7E4E62E7" w:rsidR="00112B34" w:rsidRPr="005402D4" w:rsidRDefault="00112B34" w:rsidP="00693D9A">
            <w:pPr>
              <w:pStyle w:val="Numbered"/>
              <w:numPr>
                <w:ilvl w:val="0"/>
                <w:numId w:val="0"/>
              </w:numPr>
              <w:spacing w:before="0"/>
              <w:rPr>
                <w:sz w:val="20"/>
                <w:szCs w:val="20"/>
              </w:rPr>
            </w:pPr>
            <w:r>
              <w:rPr>
                <w:sz w:val="20"/>
                <w:szCs w:val="20"/>
              </w:rPr>
              <w:t>Distributional effects with some increased costs to designated retailers offset by less costs to suppliers.</w:t>
            </w:r>
          </w:p>
        </w:tc>
      </w:tr>
      <w:tr w:rsidR="00B96823" w:rsidRPr="00D17979" w14:paraId="0DA561A8" w14:textId="77777777" w:rsidTr="00720AD8">
        <w:tc>
          <w:tcPr>
            <w:tcW w:w="1134" w:type="dxa"/>
            <w:shd w:val="clear" w:color="auto" w:fill="D9D9D9" w:themeFill="background1" w:themeFillShade="D9"/>
          </w:tcPr>
          <w:p w14:paraId="5EC31753" w14:textId="77777777" w:rsidR="00B96823" w:rsidRDefault="00B96823" w:rsidP="00B96823">
            <w:pPr>
              <w:pStyle w:val="Numbered"/>
              <w:numPr>
                <w:ilvl w:val="0"/>
                <w:numId w:val="0"/>
              </w:numPr>
              <w:spacing w:before="0"/>
              <w:rPr>
                <w:b/>
                <w:bCs/>
              </w:rPr>
            </w:pPr>
            <w:r w:rsidRPr="001604BA">
              <w:rPr>
                <w:b/>
                <w:bCs/>
              </w:rPr>
              <w:t xml:space="preserve">Durable </w:t>
            </w:r>
          </w:p>
          <w:p w14:paraId="7D62BDB7" w14:textId="1D258ABF" w:rsidR="00B96823" w:rsidRPr="005239EF" w:rsidRDefault="00B96823" w:rsidP="00B96823">
            <w:pPr>
              <w:pStyle w:val="Numbered"/>
              <w:numPr>
                <w:ilvl w:val="0"/>
                <w:numId w:val="0"/>
              </w:numPr>
              <w:spacing w:before="0"/>
              <w:rPr>
                <w:b/>
                <w:bCs/>
              </w:rPr>
            </w:pPr>
          </w:p>
        </w:tc>
        <w:tc>
          <w:tcPr>
            <w:tcW w:w="2268" w:type="dxa"/>
            <w:shd w:val="clear" w:color="auto" w:fill="D9D9D9" w:themeFill="background1" w:themeFillShade="D9"/>
          </w:tcPr>
          <w:p w14:paraId="50150B44" w14:textId="77777777" w:rsidR="00B96823" w:rsidRPr="005402D4" w:rsidRDefault="00B96823" w:rsidP="00B96823">
            <w:pPr>
              <w:pStyle w:val="Numbered"/>
              <w:numPr>
                <w:ilvl w:val="0"/>
                <w:numId w:val="0"/>
              </w:numPr>
              <w:spacing w:before="0"/>
              <w:rPr>
                <w:sz w:val="20"/>
                <w:szCs w:val="20"/>
              </w:rPr>
            </w:pPr>
            <w:r w:rsidRPr="005402D4">
              <w:rPr>
                <w:sz w:val="20"/>
                <w:szCs w:val="20"/>
              </w:rPr>
              <w:t>+2</w:t>
            </w:r>
          </w:p>
          <w:p w14:paraId="525E1E39" w14:textId="101D8AFE" w:rsidR="00B96823" w:rsidRPr="005402D4" w:rsidRDefault="00112B34" w:rsidP="00B96823">
            <w:pPr>
              <w:pStyle w:val="Numbered"/>
              <w:numPr>
                <w:ilvl w:val="0"/>
                <w:numId w:val="0"/>
              </w:numPr>
              <w:spacing w:before="0"/>
              <w:rPr>
                <w:sz w:val="20"/>
                <w:szCs w:val="20"/>
              </w:rPr>
            </w:pPr>
            <w:r>
              <w:rPr>
                <w:sz w:val="20"/>
                <w:szCs w:val="20"/>
              </w:rPr>
              <w:t xml:space="preserve">Principles are </w:t>
            </w:r>
            <w:r w:rsidR="00B96823">
              <w:rPr>
                <w:sz w:val="20"/>
                <w:szCs w:val="20"/>
              </w:rPr>
              <w:t>adaptable over time and should not provide an impediment to the well</w:t>
            </w:r>
            <w:r w:rsidR="001F0770">
              <w:rPr>
                <w:sz w:val="20"/>
                <w:szCs w:val="20"/>
              </w:rPr>
              <w:t>-</w:t>
            </w:r>
            <w:r w:rsidR="00B96823">
              <w:rPr>
                <w:sz w:val="20"/>
                <w:szCs w:val="20"/>
              </w:rPr>
              <w:t>functioning market</w:t>
            </w:r>
            <w:r w:rsidR="0048555A">
              <w:rPr>
                <w:sz w:val="20"/>
                <w:szCs w:val="20"/>
              </w:rPr>
              <w:t>.</w:t>
            </w:r>
            <w:r w:rsidR="00B96823">
              <w:rPr>
                <w:sz w:val="20"/>
                <w:szCs w:val="20"/>
              </w:rPr>
              <w:t xml:space="preserve"> </w:t>
            </w:r>
            <w:r w:rsidR="00B96823" w:rsidRPr="005402D4">
              <w:rPr>
                <w:sz w:val="20"/>
                <w:szCs w:val="20"/>
              </w:rPr>
              <w:t xml:space="preserve"> </w:t>
            </w:r>
          </w:p>
        </w:tc>
        <w:tc>
          <w:tcPr>
            <w:tcW w:w="3270" w:type="dxa"/>
            <w:shd w:val="clear" w:color="auto" w:fill="D9D9D9" w:themeFill="background1" w:themeFillShade="D9"/>
          </w:tcPr>
          <w:p w14:paraId="7CA0A520" w14:textId="77777777" w:rsidR="00B96823" w:rsidRPr="005402D4" w:rsidRDefault="00B96823" w:rsidP="00B96823">
            <w:pPr>
              <w:pStyle w:val="Numbered"/>
              <w:numPr>
                <w:ilvl w:val="0"/>
                <w:numId w:val="0"/>
              </w:numPr>
              <w:spacing w:before="0"/>
              <w:rPr>
                <w:sz w:val="20"/>
                <w:szCs w:val="20"/>
              </w:rPr>
            </w:pPr>
            <w:r w:rsidRPr="005402D4">
              <w:rPr>
                <w:sz w:val="20"/>
                <w:szCs w:val="20"/>
              </w:rPr>
              <w:t>+2</w:t>
            </w:r>
          </w:p>
          <w:p w14:paraId="2854D3D6" w14:textId="76A14315" w:rsidR="00B96823" w:rsidRPr="005402D4" w:rsidRDefault="00B96823" w:rsidP="00B96823">
            <w:pPr>
              <w:pStyle w:val="Numbered"/>
              <w:numPr>
                <w:ilvl w:val="0"/>
                <w:numId w:val="0"/>
              </w:numPr>
              <w:spacing w:before="0"/>
              <w:rPr>
                <w:sz w:val="20"/>
                <w:szCs w:val="20"/>
              </w:rPr>
            </w:pPr>
            <w:r>
              <w:rPr>
                <w:sz w:val="20"/>
                <w:szCs w:val="20"/>
              </w:rPr>
              <w:t>Specific provisions are</w:t>
            </w:r>
            <w:r w:rsidR="00112B34">
              <w:rPr>
                <w:sz w:val="20"/>
                <w:szCs w:val="20"/>
              </w:rPr>
              <w:t xml:space="preserve"> generally</w:t>
            </w:r>
            <w:r>
              <w:rPr>
                <w:sz w:val="20"/>
                <w:szCs w:val="20"/>
              </w:rPr>
              <w:t xml:space="preserve"> adaptable over time</w:t>
            </w:r>
            <w:r w:rsidR="0048555A">
              <w:rPr>
                <w:sz w:val="20"/>
                <w:szCs w:val="20"/>
              </w:rPr>
              <w:t>.</w:t>
            </w:r>
            <w:r>
              <w:rPr>
                <w:sz w:val="20"/>
                <w:szCs w:val="20"/>
              </w:rPr>
              <w:t xml:space="preserve"> </w:t>
            </w:r>
            <w:r w:rsidRPr="005402D4">
              <w:rPr>
                <w:sz w:val="20"/>
                <w:szCs w:val="20"/>
              </w:rPr>
              <w:t xml:space="preserve"> </w:t>
            </w:r>
          </w:p>
        </w:tc>
        <w:tc>
          <w:tcPr>
            <w:tcW w:w="2683" w:type="dxa"/>
            <w:shd w:val="clear" w:color="auto" w:fill="D9D9D9" w:themeFill="background1" w:themeFillShade="D9"/>
          </w:tcPr>
          <w:p w14:paraId="20BB452A" w14:textId="1746738B" w:rsidR="00B96823" w:rsidRPr="005402D4" w:rsidRDefault="00B96823" w:rsidP="00B96823">
            <w:pPr>
              <w:pStyle w:val="Numbered"/>
              <w:numPr>
                <w:ilvl w:val="0"/>
                <w:numId w:val="0"/>
              </w:numPr>
              <w:spacing w:before="0"/>
              <w:rPr>
                <w:sz w:val="20"/>
                <w:szCs w:val="20"/>
              </w:rPr>
            </w:pPr>
            <w:r w:rsidRPr="005402D4">
              <w:rPr>
                <w:sz w:val="20"/>
                <w:szCs w:val="20"/>
              </w:rPr>
              <w:t>+</w:t>
            </w:r>
            <w:r w:rsidR="00112B34">
              <w:rPr>
                <w:sz w:val="20"/>
                <w:szCs w:val="20"/>
              </w:rPr>
              <w:t>1.5</w:t>
            </w:r>
          </w:p>
          <w:p w14:paraId="716D6AC1" w14:textId="0A7DE197" w:rsidR="00B96823" w:rsidRPr="005402D4" w:rsidRDefault="00112B34" w:rsidP="00B96823">
            <w:pPr>
              <w:pStyle w:val="Numbered"/>
              <w:numPr>
                <w:ilvl w:val="0"/>
                <w:numId w:val="0"/>
              </w:numPr>
              <w:spacing w:before="0"/>
              <w:rPr>
                <w:sz w:val="20"/>
                <w:szCs w:val="20"/>
              </w:rPr>
            </w:pPr>
            <w:r>
              <w:rPr>
                <w:sz w:val="20"/>
                <w:szCs w:val="20"/>
              </w:rPr>
              <w:t>More detail may prove to be less adaptable over time</w:t>
            </w:r>
            <w:r w:rsidR="0048555A">
              <w:rPr>
                <w:sz w:val="20"/>
                <w:szCs w:val="20"/>
              </w:rPr>
              <w:t>.</w:t>
            </w:r>
            <w:r w:rsidR="00B96823">
              <w:rPr>
                <w:sz w:val="20"/>
                <w:szCs w:val="20"/>
              </w:rPr>
              <w:t xml:space="preserve"> </w:t>
            </w:r>
            <w:r w:rsidR="00B96823" w:rsidRPr="005402D4">
              <w:rPr>
                <w:sz w:val="20"/>
                <w:szCs w:val="20"/>
              </w:rPr>
              <w:t xml:space="preserve"> </w:t>
            </w:r>
          </w:p>
        </w:tc>
      </w:tr>
      <w:tr w:rsidR="005402D4" w:rsidRPr="00D17979" w14:paraId="4B1E43F9" w14:textId="77777777" w:rsidTr="00B96823">
        <w:trPr>
          <w:trHeight w:val="248"/>
        </w:trPr>
        <w:tc>
          <w:tcPr>
            <w:tcW w:w="1134" w:type="dxa"/>
            <w:shd w:val="clear" w:color="auto" w:fill="D9D9D9" w:themeFill="background1" w:themeFillShade="D9"/>
          </w:tcPr>
          <w:p w14:paraId="4622CFB1" w14:textId="67EF3639" w:rsidR="005402D4" w:rsidRPr="005239EF" w:rsidRDefault="00720AD8" w:rsidP="00B96823">
            <w:pPr>
              <w:pStyle w:val="Numbered"/>
              <w:numPr>
                <w:ilvl w:val="0"/>
                <w:numId w:val="0"/>
              </w:numPr>
              <w:spacing w:before="0"/>
              <w:rPr>
                <w:b/>
                <w:bCs/>
              </w:rPr>
            </w:pPr>
            <w:r>
              <w:rPr>
                <w:b/>
                <w:bCs/>
              </w:rPr>
              <w:t>Overall</w:t>
            </w:r>
          </w:p>
        </w:tc>
        <w:tc>
          <w:tcPr>
            <w:tcW w:w="2268" w:type="dxa"/>
            <w:shd w:val="clear" w:color="auto" w:fill="D9D9D9" w:themeFill="background1" w:themeFillShade="D9"/>
          </w:tcPr>
          <w:p w14:paraId="04D068E0" w14:textId="6A52C4A5" w:rsidR="005402D4" w:rsidRPr="005402D4" w:rsidRDefault="00720AD8" w:rsidP="00B96823">
            <w:pPr>
              <w:pStyle w:val="Numbered"/>
              <w:numPr>
                <w:ilvl w:val="0"/>
                <w:numId w:val="0"/>
              </w:numPr>
              <w:spacing w:before="0"/>
              <w:rPr>
                <w:sz w:val="20"/>
                <w:szCs w:val="20"/>
              </w:rPr>
            </w:pPr>
            <w:r>
              <w:rPr>
                <w:sz w:val="20"/>
                <w:szCs w:val="20"/>
              </w:rPr>
              <w:t>+2</w:t>
            </w:r>
            <w:r w:rsidR="00112B34">
              <w:rPr>
                <w:sz w:val="20"/>
                <w:szCs w:val="20"/>
              </w:rPr>
              <w:t>.5</w:t>
            </w:r>
          </w:p>
        </w:tc>
        <w:tc>
          <w:tcPr>
            <w:tcW w:w="3270" w:type="dxa"/>
            <w:shd w:val="clear" w:color="auto" w:fill="D9D9D9" w:themeFill="background1" w:themeFillShade="D9"/>
          </w:tcPr>
          <w:p w14:paraId="16CB49DE" w14:textId="572C36E0" w:rsidR="005402D4" w:rsidRPr="005402D4" w:rsidRDefault="00720AD8" w:rsidP="00B96823">
            <w:pPr>
              <w:pStyle w:val="Numbered"/>
              <w:numPr>
                <w:ilvl w:val="0"/>
                <w:numId w:val="0"/>
              </w:numPr>
              <w:spacing w:before="0"/>
              <w:rPr>
                <w:sz w:val="20"/>
                <w:szCs w:val="20"/>
              </w:rPr>
            </w:pPr>
            <w:r>
              <w:rPr>
                <w:sz w:val="20"/>
                <w:szCs w:val="20"/>
              </w:rPr>
              <w:t>+3</w:t>
            </w:r>
          </w:p>
        </w:tc>
        <w:tc>
          <w:tcPr>
            <w:tcW w:w="2683" w:type="dxa"/>
            <w:shd w:val="clear" w:color="auto" w:fill="D9D9D9" w:themeFill="background1" w:themeFillShade="D9"/>
          </w:tcPr>
          <w:p w14:paraId="1940197B" w14:textId="27E337D4" w:rsidR="005402D4" w:rsidRPr="005402D4" w:rsidRDefault="00720AD8" w:rsidP="00B96823">
            <w:pPr>
              <w:pStyle w:val="Numbered"/>
              <w:numPr>
                <w:ilvl w:val="0"/>
                <w:numId w:val="0"/>
              </w:numPr>
              <w:spacing w:before="0"/>
              <w:rPr>
                <w:sz w:val="20"/>
                <w:szCs w:val="20"/>
              </w:rPr>
            </w:pPr>
            <w:r>
              <w:rPr>
                <w:sz w:val="20"/>
                <w:szCs w:val="20"/>
              </w:rPr>
              <w:t>+</w:t>
            </w:r>
            <w:r w:rsidR="009614C3">
              <w:rPr>
                <w:sz w:val="20"/>
                <w:szCs w:val="20"/>
              </w:rPr>
              <w:t>3</w:t>
            </w:r>
          </w:p>
        </w:tc>
      </w:tr>
    </w:tbl>
    <w:p w14:paraId="4E190DC3" w14:textId="352388AD" w:rsidR="006E56CE" w:rsidRDefault="006E56CE" w:rsidP="002F20E4">
      <w:pPr>
        <w:pStyle w:val="Heading2"/>
        <w:keepNext/>
        <w:tabs>
          <w:tab w:val="left" w:pos="567"/>
        </w:tabs>
      </w:pPr>
      <w:bookmarkStart w:id="167" w:name="_Toc103173706"/>
      <w:bookmarkStart w:id="168" w:name="_Toc104358668"/>
      <w:bookmarkStart w:id="169" w:name="_Toc107919648"/>
      <w:bookmarkEnd w:id="166"/>
      <w:r>
        <w:t>6.7</w:t>
      </w:r>
      <w:r w:rsidR="002F20E4">
        <w:tab/>
      </w:r>
      <w:r>
        <w:t>Consultation questions</w:t>
      </w:r>
      <w:bookmarkEnd w:id="167"/>
      <w:bookmarkEnd w:id="168"/>
      <w:bookmarkEnd w:id="169"/>
    </w:p>
    <w:tbl>
      <w:tblPr>
        <w:tblStyle w:val="TableGrid"/>
        <w:tblW w:w="0" w:type="auto"/>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600" w:firstRow="0" w:lastRow="0" w:firstColumn="0" w:lastColumn="0" w:noHBand="1" w:noVBand="1"/>
      </w:tblPr>
      <w:tblGrid>
        <w:gridCol w:w="531"/>
        <w:gridCol w:w="8539"/>
      </w:tblGrid>
      <w:tr w:rsidR="006E56CE" w:rsidRPr="00133B22" w14:paraId="57EF895E" w14:textId="77777777" w:rsidTr="006E56CE">
        <w:trPr>
          <w:cantSplit/>
        </w:trPr>
        <w:tc>
          <w:tcPr>
            <w:tcW w:w="531" w:type="dxa"/>
            <w:shd w:val="clear" w:color="auto" w:fill="006272"/>
            <w:vAlign w:val="center"/>
          </w:tcPr>
          <w:p w14:paraId="35345440" w14:textId="77777777" w:rsidR="006E56CE" w:rsidRPr="00133B22" w:rsidRDefault="006E56CE" w:rsidP="005509A4">
            <w:pPr>
              <w:pStyle w:val="Questionnumber"/>
            </w:pPr>
          </w:p>
        </w:tc>
        <w:tc>
          <w:tcPr>
            <w:tcW w:w="8539" w:type="dxa"/>
            <w:shd w:val="clear" w:color="auto" w:fill="B3D0D5"/>
          </w:tcPr>
          <w:p w14:paraId="3390E009" w14:textId="3EDA1FF3" w:rsidR="006E56CE" w:rsidRPr="00616F24" w:rsidRDefault="006E56CE" w:rsidP="005509A4">
            <w:pPr>
              <w:pStyle w:val="Question"/>
            </w:pPr>
            <w:r w:rsidRPr="00616F24">
              <w:t xml:space="preserve">In relation to </w:t>
            </w:r>
            <w:r w:rsidRPr="00616F24">
              <w:rPr>
                <w:b/>
                <w:bCs/>
              </w:rPr>
              <w:t xml:space="preserve">6.2 Changes in supply chain processes, </w:t>
            </w:r>
            <w:r w:rsidRPr="00616F24">
              <w:t xml:space="preserve">which option do you think is best, </w:t>
            </w:r>
            <w:r w:rsidR="00D97253">
              <w:t xml:space="preserve">and </w:t>
            </w:r>
            <w:r w:rsidRPr="00616F24">
              <w:t>why?</w:t>
            </w:r>
            <w:r w:rsidR="004A1B14">
              <w:br/>
              <w:t>Are suppliers being pressured to use a retailer’s own logistics services and if so, what is the impact?</w:t>
            </w:r>
          </w:p>
        </w:tc>
      </w:tr>
      <w:tr w:rsidR="006E56CE" w:rsidRPr="00133B22" w14:paraId="1C1C40CA" w14:textId="77777777" w:rsidTr="006E56CE">
        <w:trPr>
          <w:cantSplit/>
        </w:trPr>
        <w:tc>
          <w:tcPr>
            <w:tcW w:w="531" w:type="dxa"/>
            <w:shd w:val="clear" w:color="auto" w:fill="006272"/>
            <w:vAlign w:val="center"/>
          </w:tcPr>
          <w:p w14:paraId="1B75BBA9" w14:textId="77777777" w:rsidR="006E56CE" w:rsidRPr="00133B22" w:rsidRDefault="006E56CE" w:rsidP="005509A4">
            <w:pPr>
              <w:pStyle w:val="Questionnumber"/>
            </w:pPr>
          </w:p>
        </w:tc>
        <w:tc>
          <w:tcPr>
            <w:tcW w:w="8539" w:type="dxa"/>
            <w:shd w:val="clear" w:color="auto" w:fill="B3D0D5"/>
          </w:tcPr>
          <w:p w14:paraId="0EACF413" w14:textId="13ABE8D5" w:rsidR="004A1C65" w:rsidRPr="00616F24" w:rsidRDefault="006E56CE" w:rsidP="004A1C65">
            <w:pPr>
              <w:pStyle w:val="Question"/>
            </w:pPr>
            <w:r w:rsidRPr="00616F24">
              <w:t xml:space="preserve">In relation to </w:t>
            </w:r>
            <w:r>
              <w:rPr>
                <w:b/>
                <w:bCs/>
              </w:rPr>
              <w:t>6.3 fresh produce standards and quality specifications,</w:t>
            </w:r>
            <w:r w:rsidRPr="00616F24">
              <w:t xml:space="preserve"> </w:t>
            </w:r>
            <w:r>
              <w:t xml:space="preserve">do you think the Code should include specific provisions about fresh produce </w:t>
            </w:r>
            <w:r w:rsidR="00D97253">
              <w:t>and</w:t>
            </w:r>
            <w:r>
              <w:t xml:space="preserve"> if yes</w:t>
            </w:r>
            <w:r w:rsidR="00D97253">
              <w:t>,</w:t>
            </w:r>
            <w:r>
              <w:t xml:space="preserve"> please explain what you think it should include?</w:t>
            </w:r>
          </w:p>
        </w:tc>
      </w:tr>
      <w:tr w:rsidR="006E56CE" w:rsidRPr="00133B22" w14:paraId="26C191E8" w14:textId="77777777" w:rsidTr="006E56CE">
        <w:trPr>
          <w:cantSplit/>
        </w:trPr>
        <w:tc>
          <w:tcPr>
            <w:tcW w:w="531" w:type="dxa"/>
            <w:shd w:val="clear" w:color="auto" w:fill="006272"/>
            <w:vAlign w:val="center"/>
          </w:tcPr>
          <w:p w14:paraId="02EE4E98" w14:textId="77777777" w:rsidR="006E56CE" w:rsidRPr="00133B22" w:rsidRDefault="006E56CE" w:rsidP="005509A4">
            <w:pPr>
              <w:pStyle w:val="Questionnumber"/>
            </w:pPr>
          </w:p>
        </w:tc>
        <w:tc>
          <w:tcPr>
            <w:tcW w:w="8539" w:type="dxa"/>
            <w:shd w:val="clear" w:color="auto" w:fill="B3D0D5"/>
          </w:tcPr>
          <w:p w14:paraId="0B49BC18" w14:textId="77777777" w:rsidR="006E56CE" w:rsidRPr="00616F24" w:rsidRDefault="006E56CE" w:rsidP="005509A4">
            <w:pPr>
              <w:pStyle w:val="Question"/>
            </w:pPr>
            <w:r w:rsidRPr="00616F24">
              <w:t xml:space="preserve">In relation to </w:t>
            </w:r>
            <w:r w:rsidRPr="00616F24">
              <w:rPr>
                <w:b/>
                <w:bCs/>
              </w:rPr>
              <w:t xml:space="preserve">6.4 Obligations in relation to ranging, shelf allocation, and delisting, </w:t>
            </w:r>
            <w:r w:rsidRPr="00616F24">
              <w:t xml:space="preserve">which option do you think is best, </w:t>
            </w:r>
            <w:r w:rsidR="00D97253">
              <w:t xml:space="preserve">and </w:t>
            </w:r>
            <w:r w:rsidRPr="00616F24">
              <w:t>why?</w:t>
            </w:r>
          </w:p>
        </w:tc>
      </w:tr>
      <w:tr w:rsidR="006E56CE" w:rsidRPr="00133B22" w14:paraId="64339A69" w14:textId="77777777" w:rsidTr="006E56CE">
        <w:trPr>
          <w:cantSplit/>
        </w:trPr>
        <w:tc>
          <w:tcPr>
            <w:tcW w:w="531" w:type="dxa"/>
            <w:shd w:val="clear" w:color="auto" w:fill="006272"/>
            <w:vAlign w:val="center"/>
          </w:tcPr>
          <w:p w14:paraId="3D251CA7" w14:textId="77777777" w:rsidR="006E56CE" w:rsidRPr="00133B22" w:rsidRDefault="006E56CE" w:rsidP="005509A4">
            <w:pPr>
              <w:pStyle w:val="Questionnumber"/>
            </w:pPr>
          </w:p>
        </w:tc>
        <w:tc>
          <w:tcPr>
            <w:tcW w:w="8539" w:type="dxa"/>
            <w:shd w:val="clear" w:color="auto" w:fill="B3D0D5"/>
          </w:tcPr>
          <w:p w14:paraId="53C914E6" w14:textId="11D1CD43" w:rsidR="006E56CE" w:rsidRPr="004E308A" w:rsidRDefault="004A1B14" w:rsidP="005509A4">
            <w:pPr>
              <w:pStyle w:val="Question"/>
            </w:pPr>
            <w:r w:rsidRPr="00616F24">
              <w:t xml:space="preserve">In relation to </w:t>
            </w:r>
            <w:r w:rsidRPr="00616F24">
              <w:rPr>
                <w:b/>
                <w:bCs/>
              </w:rPr>
              <w:t>6.</w:t>
            </w:r>
            <w:r>
              <w:rPr>
                <w:b/>
                <w:bCs/>
              </w:rPr>
              <w:t>5</w:t>
            </w:r>
            <w:r w:rsidRPr="00616F24">
              <w:rPr>
                <w:b/>
                <w:bCs/>
              </w:rPr>
              <w:t xml:space="preserve"> </w:t>
            </w:r>
            <w:r>
              <w:rPr>
                <w:b/>
                <w:bCs/>
              </w:rPr>
              <w:t>Other o</w:t>
            </w:r>
            <w:r w:rsidRPr="00616F24">
              <w:rPr>
                <w:b/>
                <w:bCs/>
              </w:rPr>
              <w:t>bligations</w:t>
            </w:r>
            <w:r>
              <w:rPr>
                <w:b/>
                <w:bCs/>
              </w:rPr>
              <w:t>,</w:t>
            </w:r>
            <w:r>
              <w:t xml:space="preserve"> which option do you think is best, and why? </w:t>
            </w:r>
            <w:r>
              <w:br/>
              <w:t xml:space="preserve">Please comment on the range of different areas – confidential information, intellectual property, business disruption, freedom of association, </w:t>
            </w:r>
            <w:r w:rsidR="00112B34">
              <w:t>whistle-blower</w:t>
            </w:r>
            <w:r>
              <w:t xml:space="preserve"> protections, pressure </w:t>
            </w:r>
            <w:r w:rsidRPr="004A1B14">
              <w:t>to opt out of wholesale supply arrangements</w:t>
            </w:r>
            <w:r>
              <w:t xml:space="preserve">, </w:t>
            </w:r>
            <w:r w:rsidR="00112B34">
              <w:t>e</w:t>
            </w:r>
            <w:r w:rsidRPr="004A1B14">
              <w:t>xclusive supply clauses and ‘most favoured nation’ price clauses</w:t>
            </w:r>
            <w:r w:rsidR="00A4744B">
              <w:t>.</w:t>
            </w:r>
          </w:p>
        </w:tc>
      </w:tr>
      <w:tr w:rsidR="006E56CE" w:rsidRPr="00133B22" w14:paraId="2E25F975" w14:textId="77777777" w:rsidTr="006E56CE">
        <w:trPr>
          <w:cantSplit/>
        </w:trPr>
        <w:tc>
          <w:tcPr>
            <w:tcW w:w="531" w:type="dxa"/>
            <w:shd w:val="clear" w:color="auto" w:fill="006272"/>
            <w:vAlign w:val="center"/>
          </w:tcPr>
          <w:p w14:paraId="42C546E1" w14:textId="77777777" w:rsidR="006E56CE" w:rsidRPr="00133B22" w:rsidRDefault="006E56CE" w:rsidP="005509A4">
            <w:pPr>
              <w:pStyle w:val="Questionnumber"/>
            </w:pPr>
          </w:p>
        </w:tc>
        <w:tc>
          <w:tcPr>
            <w:tcW w:w="8539" w:type="dxa"/>
            <w:shd w:val="clear" w:color="auto" w:fill="B3D0D5"/>
          </w:tcPr>
          <w:p w14:paraId="253CF23E" w14:textId="77777777" w:rsidR="006E56CE" w:rsidRDefault="006E56CE" w:rsidP="005509A4">
            <w:pPr>
              <w:pStyle w:val="Question"/>
            </w:pPr>
            <w:r>
              <w:t>Do you have any other comments about issues relating to product supply and placement?</w:t>
            </w:r>
          </w:p>
        </w:tc>
      </w:tr>
      <w:tr w:rsidR="006E56CE" w:rsidRPr="00133B22" w14:paraId="0DC9C82D" w14:textId="77777777" w:rsidTr="006E56CE">
        <w:tblPrEx>
          <w:tblCellMar>
            <w:top w:w="57" w:type="dxa"/>
            <w:bottom w:w="57" w:type="dxa"/>
          </w:tblCellMar>
        </w:tblPrEx>
        <w:trPr>
          <w:cantSplit/>
          <w:trHeight w:val="286"/>
        </w:trPr>
        <w:tc>
          <w:tcPr>
            <w:tcW w:w="531" w:type="dxa"/>
            <w:shd w:val="clear" w:color="auto" w:fill="006272"/>
            <w:vAlign w:val="center"/>
          </w:tcPr>
          <w:p w14:paraId="5DD8B637" w14:textId="77777777" w:rsidR="006E56CE" w:rsidRPr="00133B22" w:rsidRDefault="006E56CE" w:rsidP="005509A4">
            <w:pPr>
              <w:pStyle w:val="Questionnumber"/>
            </w:pPr>
          </w:p>
        </w:tc>
        <w:tc>
          <w:tcPr>
            <w:tcW w:w="8539" w:type="dxa"/>
            <w:shd w:val="clear" w:color="auto" w:fill="B3D0D5"/>
          </w:tcPr>
          <w:p w14:paraId="5DD349F9" w14:textId="589F9F3F" w:rsidR="006E56CE" w:rsidRPr="00531897" w:rsidRDefault="006E56CE" w:rsidP="005509A4">
            <w:pPr>
              <w:pStyle w:val="Numbered"/>
              <w:numPr>
                <w:ilvl w:val="0"/>
                <w:numId w:val="0"/>
              </w:numPr>
              <w:spacing w:before="0"/>
            </w:pPr>
            <w:r>
              <w:t xml:space="preserve">Do you have any comments on the preliminary assessment of the options against the criteria in </w:t>
            </w:r>
            <w:r>
              <w:rPr>
                <w:b/>
                <w:bCs/>
              </w:rPr>
              <w:t>Chapter 6</w:t>
            </w:r>
            <w:r w:rsidRPr="00531897">
              <w:t>?</w:t>
            </w:r>
          </w:p>
        </w:tc>
      </w:tr>
    </w:tbl>
    <w:p w14:paraId="6AC9C898" w14:textId="77777777" w:rsidR="00A3086C" w:rsidRDefault="00A3086C">
      <w:r>
        <w:br w:type="page"/>
      </w:r>
    </w:p>
    <w:p w14:paraId="2913E5BC" w14:textId="77777777" w:rsidR="007C7830" w:rsidRDefault="007C7830" w:rsidP="007C7830">
      <w:pPr>
        <w:pStyle w:val="Heading1"/>
      </w:pPr>
      <w:bookmarkStart w:id="170" w:name="_Toc103173707"/>
      <w:bookmarkStart w:id="171" w:name="_Toc104358669"/>
      <w:bookmarkStart w:id="172" w:name="_Toc107919649"/>
      <w:bookmarkStart w:id="173" w:name="_Hlk101520433"/>
      <w:bookmarkStart w:id="174" w:name="_Hlk101520488"/>
      <w:bookmarkEnd w:id="143"/>
      <w:r>
        <w:lastRenderedPageBreak/>
        <w:t>Obligations in relation to payment, price increases, and promotions</w:t>
      </w:r>
      <w:bookmarkEnd w:id="170"/>
      <w:bookmarkEnd w:id="171"/>
      <w:bookmarkEnd w:id="172"/>
    </w:p>
    <w:bookmarkEnd w:id="173"/>
    <w:p w14:paraId="7B611C9C" w14:textId="77777777" w:rsidR="007C7830" w:rsidRDefault="007C7830" w:rsidP="007C7830">
      <w:pPr>
        <w:pStyle w:val="LineTeal"/>
      </w:pPr>
    </w:p>
    <w:p w14:paraId="5793792B" w14:textId="5135FC55" w:rsidR="007C7830" w:rsidRDefault="00053323" w:rsidP="002F20E4">
      <w:pPr>
        <w:pStyle w:val="Heading2"/>
        <w:tabs>
          <w:tab w:val="left" w:pos="567"/>
        </w:tabs>
      </w:pPr>
      <w:bookmarkStart w:id="175" w:name="_Toc103173708"/>
      <w:bookmarkStart w:id="176" w:name="_Toc104358670"/>
      <w:bookmarkStart w:id="177" w:name="_Toc107919650"/>
      <w:r>
        <w:t>7.1</w:t>
      </w:r>
      <w:r w:rsidR="002F20E4">
        <w:tab/>
      </w:r>
      <w:r w:rsidR="007C7830">
        <w:t>Approach to this issue</w:t>
      </w:r>
      <w:bookmarkEnd w:id="175"/>
      <w:bookmarkEnd w:id="176"/>
      <w:bookmarkEnd w:id="177"/>
    </w:p>
    <w:p w14:paraId="3878BF81" w14:textId="469568A1" w:rsidR="007C7830" w:rsidRPr="004C5F4E" w:rsidRDefault="007C7830" w:rsidP="00E276D6">
      <w:pPr>
        <w:pStyle w:val="Numbered"/>
      </w:pPr>
      <w:r w:rsidRPr="004C5F4E">
        <w:t>Payment</w:t>
      </w:r>
      <w:r w:rsidR="00910086">
        <w:t xml:space="preserve"> terms </w:t>
      </w:r>
      <w:r w:rsidRPr="004C5F4E">
        <w:t>and promotions are</w:t>
      </w:r>
      <w:r w:rsidR="00D63E75">
        <w:t xml:space="preserve"> a</w:t>
      </w:r>
      <w:r w:rsidRPr="004C5F4E">
        <w:t xml:space="preserve"> key aspect of the trading relationship between </w:t>
      </w:r>
      <w:r w:rsidR="00324524">
        <w:t xml:space="preserve">designated </w:t>
      </w:r>
      <w:r w:rsidRPr="004C5F4E">
        <w:t xml:space="preserve">retailers and suppliers. </w:t>
      </w:r>
      <w:r>
        <w:t xml:space="preserve">In relation to these </w:t>
      </w:r>
      <w:r w:rsidRPr="004C5F4E">
        <w:t>issues</w:t>
      </w:r>
      <w:r>
        <w:t>, the Code should</w:t>
      </w:r>
      <w:r w:rsidR="00E7565D">
        <w:t xml:space="preserve"> provide</w:t>
      </w:r>
      <w:r w:rsidRPr="004C5F4E">
        <w:t>:</w:t>
      </w:r>
    </w:p>
    <w:p w14:paraId="1B8D5E21" w14:textId="047B699A" w:rsidR="00022999" w:rsidRPr="00022999" w:rsidRDefault="0018010A" w:rsidP="0018010A">
      <w:pPr>
        <w:pStyle w:val="Numbered"/>
        <w:numPr>
          <w:ilvl w:val="1"/>
          <w:numId w:val="1"/>
        </w:numPr>
      </w:pPr>
      <w:r w:rsidRPr="003B6A8A">
        <w:t xml:space="preserve">certainty </w:t>
      </w:r>
      <w:r>
        <w:t xml:space="preserve">of supply terms </w:t>
      </w:r>
      <w:r w:rsidR="00610B91">
        <w:t xml:space="preserve">and conditions </w:t>
      </w:r>
      <w:r w:rsidRPr="003B6A8A">
        <w:t xml:space="preserve">by establishing expectations on </w:t>
      </w:r>
      <w:r w:rsidR="00610B91">
        <w:t xml:space="preserve">designated </w:t>
      </w:r>
      <w:r w:rsidRPr="003B6A8A">
        <w:t>retailers</w:t>
      </w:r>
      <w:r>
        <w:t xml:space="preserve"> and prohibiting or limiting some conduct</w:t>
      </w:r>
    </w:p>
    <w:p w14:paraId="4099B1A1" w14:textId="0D8EF471" w:rsidR="00022999" w:rsidRPr="00022999" w:rsidRDefault="00610B91" w:rsidP="00022999">
      <w:pPr>
        <w:pStyle w:val="Numbered"/>
        <w:numPr>
          <w:ilvl w:val="1"/>
          <w:numId w:val="1"/>
        </w:numPr>
      </w:pPr>
      <w:r w:rsidRPr="003B6A8A">
        <w:t>transparency for suppliers by</w:t>
      </w:r>
      <w:r>
        <w:t xml:space="preserve"> establishing processes and timeframes that designated retailers must follow for specific matters</w:t>
      </w:r>
      <w:r w:rsidR="00022999" w:rsidRPr="00022999">
        <w:t xml:space="preserve"> </w:t>
      </w:r>
    </w:p>
    <w:p w14:paraId="0B5796A7" w14:textId="40444F12" w:rsidR="007C7830" w:rsidRPr="004C5F4E" w:rsidRDefault="007C7830" w:rsidP="007C7830">
      <w:pPr>
        <w:pStyle w:val="Numbered"/>
        <w:numPr>
          <w:ilvl w:val="1"/>
          <w:numId w:val="1"/>
        </w:numPr>
      </w:pPr>
      <w:r w:rsidRPr="004C5F4E">
        <w:t xml:space="preserve">direction to ensure that costs </w:t>
      </w:r>
      <w:r w:rsidR="00910086">
        <w:t xml:space="preserve">are met by, and benefits accrue to, </w:t>
      </w:r>
      <w:r w:rsidRPr="004C5F4E">
        <w:t>the most appropriate party</w:t>
      </w:r>
      <w:r w:rsidR="00910086">
        <w:t>.</w:t>
      </w:r>
      <w:r w:rsidRPr="004C5F4E">
        <w:t xml:space="preserve"> </w:t>
      </w:r>
    </w:p>
    <w:p w14:paraId="56204218" w14:textId="3F3F073B" w:rsidR="007C7830" w:rsidRDefault="00910086" w:rsidP="007C7830">
      <w:pPr>
        <w:pStyle w:val="Numbered"/>
      </w:pPr>
      <w:r>
        <w:t>In t</w:t>
      </w:r>
      <w:r w:rsidR="007C7830">
        <w:t xml:space="preserve">his chapter </w:t>
      </w:r>
      <w:r>
        <w:t xml:space="preserve">we consider options in relation to </w:t>
      </w:r>
      <w:r w:rsidR="007C7830">
        <w:t>payment</w:t>
      </w:r>
      <w:r>
        <w:t xml:space="preserve"> terms and set-offs</w:t>
      </w:r>
      <w:r w:rsidR="007C7830">
        <w:t xml:space="preserve">, </w:t>
      </w:r>
      <w:r>
        <w:t xml:space="preserve">responses to </w:t>
      </w:r>
      <w:r w:rsidR="007C7830">
        <w:t xml:space="preserve">price increases, limiting payments in relation </w:t>
      </w:r>
      <w:r w:rsidR="009409C6">
        <w:t xml:space="preserve">to </w:t>
      </w:r>
      <w:r w:rsidR="007C7830">
        <w:t>shrinkage and wastage</w:t>
      </w:r>
      <w:r w:rsidR="00DB44B4">
        <w:t xml:space="preserve"> and retailer’s business activities</w:t>
      </w:r>
      <w:r w:rsidR="007C7830">
        <w:t>, and promotional pricing and promotional buying.</w:t>
      </w:r>
    </w:p>
    <w:p w14:paraId="2E948549" w14:textId="7128E755" w:rsidR="007C7830" w:rsidRDefault="008B0276" w:rsidP="00EF3A7B">
      <w:pPr>
        <w:pStyle w:val="Heading2"/>
        <w:tabs>
          <w:tab w:val="left" w:pos="567"/>
        </w:tabs>
      </w:pPr>
      <w:bookmarkStart w:id="178" w:name="_Toc103173709"/>
      <w:bookmarkStart w:id="179" w:name="_Toc104358671"/>
      <w:bookmarkStart w:id="180" w:name="_Toc107919651"/>
      <w:r>
        <w:t>7.2</w:t>
      </w:r>
      <w:r w:rsidR="00EF3A7B">
        <w:tab/>
      </w:r>
      <w:r w:rsidR="00873A0D">
        <w:t>P</w:t>
      </w:r>
      <w:r w:rsidR="007C7830">
        <w:t>ayment</w:t>
      </w:r>
      <w:r w:rsidR="00873A0D">
        <w:t xml:space="preserve"> terms</w:t>
      </w:r>
      <w:r w:rsidR="007C7830">
        <w:t xml:space="preserve"> and set</w:t>
      </w:r>
      <w:r w:rsidR="00873A0D">
        <w:t>-</w:t>
      </w:r>
      <w:r w:rsidR="007C7830">
        <w:t>offs</w:t>
      </w:r>
      <w:bookmarkEnd w:id="178"/>
      <w:bookmarkEnd w:id="179"/>
      <w:bookmarkEnd w:id="180"/>
    </w:p>
    <w:p w14:paraId="12CA10F2" w14:textId="02A0A6C4" w:rsidR="007C7830" w:rsidRDefault="00BE75B6" w:rsidP="007C7830">
      <w:pPr>
        <w:pStyle w:val="Numbered"/>
      </w:pPr>
      <w:r>
        <w:t>Receiving p</w:t>
      </w:r>
      <w:r w:rsidR="007C7830">
        <w:t xml:space="preserve">ayment is critical to </w:t>
      </w:r>
      <w:r>
        <w:t xml:space="preserve">the </w:t>
      </w:r>
      <w:r w:rsidR="007C7830">
        <w:t xml:space="preserve">cash flow of businesses, and </w:t>
      </w:r>
      <w:r w:rsidR="00C02FAA">
        <w:t xml:space="preserve">the timing of payments </w:t>
      </w:r>
      <w:r w:rsidR="007C7830">
        <w:t xml:space="preserve">impacts </w:t>
      </w:r>
      <w:r w:rsidR="00C02FAA">
        <w:t xml:space="preserve">the </w:t>
      </w:r>
      <w:r w:rsidR="007C7830">
        <w:t xml:space="preserve">ability </w:t>
      </w:r>
      <w:r w:rsidR="00C02FAA">
        <w:t xml:space="preserve">of a business </w:t>
      </w:r>
      <w:r w:rsidR="007C7830">
        <w:t>to invest and grow. The Government encourag</w:t>
      </w:r>
      <w:r w:rsidR="00C02FAA">
        <w:t>es</w:t>
      </w:r>
      <w:r w:rsidR="007C7830">
        <w:t xml:space="preserve"> </w:t>
      </w:r>
      <w:r w:rsidR="00C02FAA">
        <w:t>prompt</w:t>
      </w:r>
      <w:r w:rsidR="007C7830">
        <w:t xml:space="preserve"> payments to small and medium enterprises</w:t>
      </w:r>
      <w:r w:rsidR="003357A6">
        <w:t xml:space="preserve"> </w:t>
      </w:r>
      <w:r w:rsidR="00C02FAA">
        <w:t xml:space="preserve">and wants </w:t>
      </w:r>
      <w:r w:rsidR="007C7830">
        <w:t>95</w:t>
      </w:r>
      <w:r>
        <w:t>%</w:t>
      </w:r>
      <w:r w:rsidR="007C7830">
        <w:t xml:space="preserve"> of invoices </w:t>
      </w:r>
      <w:r>
        <w:t xml:space="preserve">received from these businesses </w:t>
      </w:r>
      <w:r w:rsidR="00C02FAA">
        <w:t xml:space="preserve">to be </w:t>
      </w:r>
      <w:r w:rsidR="007C7830">
        <w:t>paid within 10 working days.</w:t>
      </w:r>
      <w:r w:rsidR="007C7830">
        <w:rPr>
          <w:rStyle w:val="FootnoteReference"/>
        </w:rPr>
        <w:footnoteReference w:id="28"/>
      </w:r>
      <w:r w:rsidR="007C7830">
        <w:t xml:space="preserve"> </w:t>
      </w:r>
    </w:p>
    <w:p w14:paraId="230B6DF1" w14:textId="5BDCCB5A" w:rsidR="00011DBC" w:rsidRDefault="00011DBC" w:rsidP="00011DBC">
      <w:pPr>
        <w:pStyle w:val="Numbered"/>
      </w:pPr>
      <w:r>
        <w:t xml:space="preserve">The Code </w:t>
      </w:r>
      <w:r w:rsidR="00324524">
        <w:t>c</w:t>
      </w:r>
      <w:r>
        <w:t xml:space="preserve">ould </w:t>
      </w:r>
      <w:r w:rsidR="00DB44B4">
        <w:t>improve</w:t>
      </w:r>
      <w:r>
        <w:t xml:space="preserve"> </w:t>
      </w:r>
      <w:r w:rsidR="00DB44B4">
        <w:t xml:space="preserve">certainty of supply </w:t>
      </w:r>
      <w:r w:rsidR="00DC7BA3">
        <w:t xml:space="preserve">terms </w:t>
      </w:r>
      <w:r>
        <w:t xml:space="preserve">so businesses know when they will be paid. </w:t>
      </w:r>
    </w:p>
    <w:p w14:paraId="78B49A60" w14:textId="77777777" w:rsidR="007C7830" w:rsidRPr="00D61116" w:rsidRDefault="007C7830" w:rsidP="007C7830">
      <w:pPr>
        <w:pStyle w:val="Numbered"/>
        <w:numPr>
          <w:ilvl w:val="0"/>
          <w:numId w:val="0"/>
        </w:numPr>
        <w:ind w:left="567" w:hanging="567"/>
        <w:rPr>
          <w:b/>
          <w:bCs/>
        </w:rPr>
      </w:pPr>
      <w:r>
        <w:rPr>
          <w:b/>
          <w:bCs/>
        </w:rPr>
        <w:t>Payment times</w:t>
      </w:r>
    </w:p>
    <w:p w14:paraId="407CF369" w14:textId="4F2EC581" w:rsidR="001D27EF" w:rsidRDefault="001D27EF" w:rsidP="001D27EF">
      <w:pPr>
        <w:pStyle w:val="Numbered"/>
      </w:pPr>
      <w:r w:rsidRPr="008E2CD8">
        <w:t xml:space="preserve">Delays </w:t>
      </w:r>
      <w:r>
        <w:t xml:space="preserve">in </w:t>
      </w:r>
      <w:r w:rsidRPr="008E2CD8">
        <w:t xml:space="preserve">making payments to suppliers </w:t>
      </w:r>
      <w:r>
        <w:t xml:space="preserve">can </w:t>
      </w:r>
      <w:r w:rsidRPr="008E2CD8">
        <w:t xml:space="preserve">increase </w:t>
      </w:r>
      <w:r w:rsidR="00BE75B6">
        <w:t xml:space="preserve">the </w:t>
      </w:r>
      <w:r w:rsidRPr="008E2CD8">
        <w:t xml:space="preserve">profitability of </w:t>
      </w:r>
      <w:r w:rsidR="00324524">
        <w:t xml:space="preserve">designated </w:t>
      </w:r>
      <w:r w:rsidRPr="008E2CD8">
        <w:t>retailers</w:t>
      </w:r>
      <w:r>
        <w:t xml:space="preserve">. </w:t>
      </w:r>
      <w:r w:rsidR="00C02FAA">
        <w:t>However, it</w:t>
      </w:r>
      <w:r>
        <w:t xml:space="preserve"> can create cash flow issues for suppliers and may force them to spend time chasing late payments and </w:t>
      </w:r>
      <w:r w:rsidR="00587BCF">
        <w:t>searching for</w:t>
      </w:r>
      <w:r>
        <w:t xml:space="preserve"> alternative sources of cash. In </w:t>
      </w:r>
      <w:r w:rsidR="00587BCF">
        <w:t>some</w:t>
      </w:r>
      <w:r>
        <w:t xml:space="preserve"> cases</w:t>
      </w:r>
      <w:r w:rsidR="00BE75B6">
        <w:t>,</w:t>
      </w:r>
      <w:r>
        <w:t xml:space="preserve"> late payments can cause businesses to fail.</w:t>
      </w:r>
      <w:r w:rsidRPr="008E2CD8">
        <w:t xml:space="preserve"> </w:t>
      </w:r>
    </w:p>
    <w:p w14:paraId="43935946" w14:textId="16E86809" w:rsidR="007C7830" w:rsidRDefault="001D27EF" w:rsidP="001D27EF">
      <w:pPr>
        <w:pStyle w:val="Numbered"/>
      </w:pPr>
      <w:r>
        <w:t xml:space="preserve">The Commission heard that some suppliers wait up to 60 days to have invoices paid, and these payments would often still have an industry standard-practice 2.5% settlement discount. Some </w:t>
      </w:r>
      <w:r w:rsidR="00587BCF">
        <w:t xml:space="preserve">grocery </w:t>
      </w:r>
      <w:r>
        <w:t>supply agreements may include terms with more prompt payments, but these may involve accepting a greater settlement discount.</w:t>
      </w:r>
      <w:r>
        <w:rPr>
          <w:rStyle w:val="FootnoteReference"/>
        </w:rPr>
        <w:footnoteReference w:id="29"/>
      </w:r>
      <w:r>
        <w:t xml:space="preserve"> </w:t>
      </w:r>
    </w:p>
    <w:p w14:paraId="27A82754" w14:textId="311FD2D6" w:rsidR="007C7830" w:rsidRDefault="007C7830" w:rsidP="00492D6E">
      <w:pPr>
        <w:pStyle w:val="Numbered"/>
      </w:pPr>
      <w:r w:rsidRPr="008E2CD8">
        <w:lastRenderedPageBreak/>
        <w:t xml:space="preserve">Both the Australian and UK Codes </w:t>
      </w:r>
      <w:r w:rsidR="00B46280">
        <w:t xml:space="preserve">set a </w:t>
      </w:r>
      <w:r>
        <w:t>maximum payment time that the retailer is obliged to mee</w:t>
      </w:r>
      <w:r w:rsidR="00B46280">
        <w:t>t, but do not establish a practice of prompt payments</w:t>
      </w:r>
      <w:r w:rsidR="00324524">
        <w:t xml:space="preserve"> (see the Australian Code, section 12 and the UK Code article 5)</w:t>
      </w:r>
      <w:r w:rsidR="00B46280">
        <w:t>.</w:t>
      </w:r>
      <w:r w:rsidR="00587BCF">
        <w:t xml:space="preserve"> I</w:t>
      </w:r>
      <w:r>
        <w:t>n both instances, the maximum payment time is the timeframe set out in the supply agreement and</w:t>
      </w:r>
      <w:r w:rsidR="00587BCF">
        <w:t xml:space="preserve"> </w:t>
      </w:r>
      <w:r w:rsidR="00B46280">
        <w:t>no later than</w:t>
      </w:r>
      <w:r>
        <w:t xml:space="preserve"> a reasonable time after receiving either the supplier’s invoice or the date of the supplier’s invoice. </w:t>
      </w:r>
    </w:p>
    <w:p w14:paraId="6A03CD39" w14:textId="350F316B" w:rsidR="007C7830" w:rsidRPr="00CE5808" w:rsidRDefault="007C7830" w:rsidP="00B36152">
      <w:pPr>
        <w:pStyle w:val="Numbered"/>
        <w:keepNext/>
        <w:numPr>
          <w:ilvl w:val="0"/>
          <w:numId w:val="0"/>
        </w:numPr>
        <w:rPr>
          <w:b/>
          <w:bCs/>
        </w:rPr>
      </w:pPr>
      <w:r w:rsidRPr="00CE5808">
        <w:rPr>
          <w:b/>
          <w:bCs/>
        </w:rPr>
        <w:t xml:space="preserve">Set-offs </w:t>
      </w:r>
      <w:r w:rsidR="00BC3821">
        <w:rPr>
          <w:b/>
          <w:bCs/>
        </w:rPr>
        <w:t>against</w:t>
      </w:r>
      <w:r w:rsidRPr="00CE5808">
        <w:rPr>
          <w:b/>
          <w:bCs/>
        </w:rPr>
        <w:t xml:space="preserve"> payments</w:t>
      </w:r>
    </w:p>
    <w:p w14:paraId="23272F91" w14:textId="2A3A9CE9" w:rsidR="007C7830" w:rsidRDefault="007C7830" w:rsidP="00A31C0A">
      <w:pPr>
        <w:pStyle w:val="Numbered"/>
      </w:pPr>
      <w:r>
        <w:t xml:space="preserve">Set-offs </w:t>
      </w:r>
      <w:r w:rsidR="00324524">
        <w:t xml:space="preserve">are </w:t>
      </w:r>
      <w:r w:rsidR="00587BCF">
        <w:t>when</w:t>
      </w:r>
      <w:r>
        <w:t xml:space="preserve"> a </w:t>
      </w:r>
      <w:r w:rsidR="00324524">
        <w:t xml:space="preserve">designated </w:t>
      </w:r>
      <w:r>
        <w:t xml:space="preserve">retailer deducts any amount it is owed by a supplier when paying a supplier’s invoice. </w:t>
      </w:r>
      <w:r w:rsidR="00CA3593">
        <w:t xml:space="preserve">The Commission heard </w:t>
      </w:r>
      <w:r w:rsidR="00B46280">
        <w:t>that some</w:t>
      </w:r>
      <w:r w:rsidR="00CA3593">
        <w:t xml:space="preserve"> suppliers considered set-off</w:t>
      </w:r>
      <w:r w:rsidR="00B46280">
        <w:t xml:space="preserve"> practices</w:t>
      </w:r>
      <w:r w:rsidR="00CA3593">
        <w:t xml:space="preserve"> to be unjustified or unclear,</w:t>
      </w:r>
      <w:r w:rsidR="00553DA7">
        <w:t xml:space="preserve"> and</w:t>
      </w:r>
      <w:r w:rsidR="00CA3593">
        <w:t xml:space="preserve"> result in them receiving smaller payments than expected.</w:t>
      </w:r>
      <w:r>
        <w:rPr>
          <w:rStyle w:val="FootnoteReference"/>
        </w:rPr>
        <w:footnoteReference w:id="30"/>
      </w:r>
      <w:r w:rsidR="00CA3593">
        <w:t xml:space="preserve"> </w:t>
      </w:r>
      <w:r>
        <w:t xml:space="preserve">Set-offs </w:t>
      </w:r>
      <w:r w:rsidR="00F95792">
        <w:t>do, however,</w:t>
      </w:r>
      <w:r>
        <w:t xml:space="preserve"> have some administrative efficiencies because they can reduce the number of payments required between a </w:t>
      </w:r>
      <w:r w:rsidR="00324524">
        <w:t xml:space="preserve">designated </w:t>
      </w:r>
      <w:r>
        <w:t xml:space="preserve">retailer and suppler. </w:t>
      </w:r>
    </w:p>
    <w:p w14:paraId="30646D08" w14:textId="4E6A27B5" w:rsidR="007C7830" w:rsidRDefault="007C7830" w:rsidP="008B0276">
      <w:pPr>
        <w:pStyle w:val="Numbered"/>
      </w:pPr>
      <w:r>
        <w:t xml:space="preserve">The Australian Code stipulates that a retailer must not set-off any amount against the </w:t>
      </w:r>
      <w:r w:rsidR="00F95792">
        <w:t xml:space="preserve">supplier’s </w:t>
      </w:r>
      <w:r>
        <w:t>invoice unless the supplier has consented in writing to the set-off amount</w:t>
      </w:r>
      <w:r w:rsidR="00F95792">
        <w:t>.</w:t>
      </w:r>
      <w:r w:rsidR="00B46280">
        <w:t xml:space="preserve"> </w:t>
      </w:r>
      <w:r w:rsidR="00F95792">
        <w:t>In addition, the</w:t>
      </w:r>
      <w:r w:rsidR="00B46280">
        <w:t xml:space="preserve"> </w:t>
      </w:r>
      <w:r>
        <w:t xml:space="preserve">retailer </w:t>
      </w:r>
      <w:r w:rsidR="00B46280">
        <w:t xml:space="preserve">must not </w:t>
      </w:r>
      <w:r>
        <w:t>requir</w:t>
      </w:r>
      <w:r w:rsidR="00B46280">
        <w:t>e</w:t>
      </w:r>
      <w:r>
        <w:t xml:space="preserve"> </w:t>
      </w:r>
      <w:r w:rsidR="00B46280">
        <w:t xml:space="preserve">a </w:t>
      </w:r>
      <w:r>
        <w:t xml:space="preserve">supplier to consent to such an arrangement. </w:t>
      </w:r>
      <w:r w:rsidR="008B0276">
        <w:t xml:space="preserve">Set-offs must be in the supply agreement and </w:t>
      </w:r>
      <w:r w:rsidR="00DB44B4">
        <w:t xml:space="preserve">be </w:t>
      </w:r>
      <w:r>
        <w:t>reasonable</w:t>
      </w:r>
      <w:r w:rsidR="008B0276">
        <w:t xml:space="preserve"> in the circumstances</w:t>
      </w:r>
      <w:r w:rsidR="00DB44B4">
        <w:t>.</w:t>
      </w:r>
    </w:p>
    <w:p w14:paraId="0F0056E7" w14:textId="62802534" w:rsidR="007C7830" w:rsidRDefault="00324524" w:rsidP="007C7830">
      <w:pPr>
        <w:pStyle w:val="Numbered"/>
      </w:pPr>
      <w:r>
        <w:t>T</w:t>
      </w:r>
      <w:r w:rsidR="007C7830">
        <w:t>he options we are considering are:</w:t>
      </w:r>
    </w:p>
    <w:tbl>
      <w:tblPr>
        <w:tblStyle w:val="TableGrid2"/>
        <w:tblW w:w="9214"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2694"/>
        <w:gridCol w:w="3260"/>
        <w:gridCol w:w="3260"/>
      </w:tblGrid>
      <w:tr w:rsidR="00BC3821" w:rsidRPr="00D3390A" w14:paraId="4B2C05CC" w14:textId="77777777" w:rsidTr="00BC3821">
        <w:tc>
          <w:tcPr>
            <w:tcW w:w="2694" w:type="dxa"/>
            <w:shd w:val="clear" w:color="auto" w:fill="B3D0D5"/>
          </w:tcPr>
          <w:p w14:paraId="5431C702" w14:textId="1628965B" w:rsidR="00BC3821" w:rsidRPr="00553DA7" w:rsidRDefault="00BC3821" w:rsidP="00BC3821">
            <w:pPr>
              <w:pStyle w:val="Numbered"/>
              <w:numPr>
                <w:ilvl w:val="0"/>
                <w:numId w:val="0"/>
              </w:numPr>
              <w:spacing w:before="0"/>
              <w:rPr>
                <w:b/>
                <w:sz w:val="20"/>
                <w:szCs w:val="20"/>
              </w:rPr>
            </w:pPr>
            <w:r w:rsidRPr="00D3390A">
              <w:rPr>
                <w:b/>
                <w:sz w:val="20"/>
                <w:szCs w:val="20"/>
              </w:rPr>
              <w:t xml:space="preserve">Option 1 (Principle-based Code): </w:t>
            </w:r>
          </w:p>
        </w:tc>
        <w:tc>
          <w:tcPr>
            <w:tcW w:w="3260" w:type="dxa"/>
            <w:shd w:val="clear" w:color="auto" w:fill="B3D0D5"/>
          </w:tcPr>
          <w:p w14:paraId="14AC8C3E" w14:textId="478BB1BE" w:rsidR="00BC3821" w:rsidRPr="00553DA7" w:rsidRDefault="00D3390A" w:rsidP="00BC3821">
            <w:pPr>
              <w:pStyle w:val="Numbered"/>
              <w:numPr>
                <w:ilvl w:val="0"/>
                <w:numId w:val="0"/>
              </w:numPr>
              <w:spacing w:before="0"/>
              <w:rPr>
                <w:b/>
                <w:sz w:val="20"/>
                <w:szCs w:val="20"/>
              </w:rPr>
            </w:pPr>
            <w:r w:rsidRPr="00D3390A">
              <w:rPr>
                <w:b/>
                <w:bCs/>
                <w:sz w:val="20"/>
                <w:szCs w:val="20"/>
              </w:rPr>
              <w:t>Option 2 (Prescriptive Code):</w:t>
            </w:r>
          </w:p>
        </w:tc>
        <w:tc>
          <w:tcPr>
            <w:tcW w:w="3260" w:type="dxa"/>
            <w:shd w:val="clear" w:color="auto" w:fill="B3D0D5"/>
          </w:tcPr>
          <w:p w14:paraId="3A8CEB4F" w14:textId="3C119D45" w:rsidR="00BC3821" w:rsidRPr="00553DA7" w:rsidRDefault="00BC3821" w:rsidP="00BC3821">
            <w:pPr>
              <w:pStyle w:val="Numbered"/>
              <w:numPr>
                <w:ilvl w:val="0"/>
                <w:numId w:val="0"/>
              </w:numPr>
              <w:spacing w:before="0"/>
              <w:rPr>
                <w:b/>
                <w:sz w:val="20"/>
                <w:szCs w:val="20"/>
              </w:rPr>
            </w:pPr>
            <w:r w:rsidRPr="00D3390A">
              <w:rPr>
                <w:b/>
                <w:sz w:val="20"/>
                <w:szCs w:val="20"/>
              </w:rPr>
              <w:t>Option 3 (</w:t>
            </w:r>
            <w:r w:rsidR="00D3390A" w:rsidRPr="00D3390A">
              <w:rPr>
                <w:b/>
                <w:sz w:val="20"/>
                <w:szCs w:val="20"/>
              </w:rPr>
              <w:t xml:space="preserve">Alternative </w:t>
            </w:r>
            <w:r w:rsidRPr="00D3390A">
              <w:rPr>
                <w:b/>
                <w:sz w:val="20"/>
                <w:szCs w:val="20"/>
              </w:rPr>
              <w:t>Code):</w:t>
            </w:r>
            <w:r w:rsidRPr="00553DA7">
              <w:rPr>
                <w:b/>
                <w:sz w:val="20"/>
                <w:szCs w:val="20"/>
              </w:rPr>
              <w:t xml:space="preserve"> </w:t>
            </w:r>
          </w:p>
        </w:tc>
      </w:tr>
      <w:tr w:rsidR="00BC3821" w:rsidRPr="0095677E" w14:paraId="35D165B5" w14:textId="77777777" w:rsidTr="00BC3821">
        <w:tc>
          <w:tcPr>
            <w:tcW w:w="2694" w:type="dxa"/>
            <w:shd w:val="clear" w:color="auto" w:fill="B3D0D5"/>
          </w:tcPr>
          <w:p w14:paraId="07A7548A" w14:textId="105FE829" w:rsidR="00A5022F" w:rsidRDefault="00A5022F" w:rsidP="0051380F">
            <w:pPr>
              <w:pStyle w:val="Numbered"/>
              <w:numPr>
                <w:ilvl w:val="0"/>
                <w:numId w:val="0"/>
              </w:numPr>
              <w:spacing w:before="0"/>
              <w:rPr>
                <w:b/>
                <w:bCs/>
                <w:sz w:val="20"/>
                <w:szCs w:val="20"/>
              </w:rPr>
            </w:pPr>
            <w:r>
              <w:rPr>
                <w:b/>
                <w:bCs/>
                <w:sz w:val="20"/>
                <w:szCs w:val="20"/>
              </w:rPr>
              <w:t>Payment terms</w:t>
            </w:r>
          </w:p>
          <w:p w14:paraId="2D19DC71" w14:textId="2F499190" w:rsidR="00BC3821" w:rsidRPr="00DB44B4" w:rsidRDefault="00A5022F" w:rsidP="00DB44B4">
            <w:pPr>
              <w:pStyle w:val="Numbered"/>
              <w:numPr>
                <w:ilvl w:val="0"/>
                <w:numId w:val="0"/>
              </w:numPr>
              <w:spacing w:before="0"/>
              <w:rPr>
                <w:sz w:val="20"/>
                <w:szCs w:val="20"/>
              </w:rPr>
            </w:pPr>
            <w:r w:rsidRPr="00BC3821">
              <w:rPr>
                <w:sz w:val="20"/>
                <w:szCs w:val="20"/>
              </w:rPr>
              <w:t xml:space="preserve">Payments in accordance with </w:t>
            </w:r>
            <w:r w:rsidR="00E7156A">
              <w:rPr>
                <w:sz w:val="20"/>
                <w:szCs w:val="20"/>
              </w:rPr>
              <w:t xml:space="preserve">grocery </w:t>
            </w:r>
            <w:r w:rsidRPr="00BC3821">
              <w:rPr>
                <w:sz w:val="20"/>
                <w:szCs w:val="20"/>
              </w:rPr>
              <w:t xml:space="preserve">supply agreement, and at a minimum within a reasonable </w:t>
            </w:r>
            <w:r>
              <w:rPr>
                <w:sz w:val="20"/>
                <w:szCs w:val="20"/>
              </w:rPr>
              <w:t xml:space="preserve">time. </w:t>
            </w:r>
          </w:p>
        </w:tc>
        <w:tc>
          <w:tcPr>
            <w:tcW w:w="3260" w:type="dxa"/>
            <w:shd w:val="clear" w:color="auto" w:fill="B3D0D5"/>
          </w:tcPr>
          <w:p w14:paraId="7175C7F7" w14:textId="77777777" w:rsidR="00A5022F" w:rsidRDefault="00A5022F" w:rsidP="0051380F">
            <w:pPr>
              <w:pStyle w:val="Numbered"/>
              <w:numPr>
                <w:ilvl w:val="0"/>
                <w:numId w:val="0"/>
              </w:numPr>
              <w:spacing w:before="0"/>
              <w:rPr>
                <w:b/>
                <w:bCs/>
                <w:sz w:val="20"/>
                <w:szCs w:val="20"/>
              </w:rPr>
            </w:pPr>
            <w:r>
              <w:rPr>
                <w:b/>
                <w:bCs/>
                <w:sz w:val="20"/>
                <w:szCs w:val="20"/>
              </w:rPr>
              <w:t>Payment terms</w:t>
            </w:r>
          </w:p>
          <w:p w14:paraId="58358718" w14:textId="7AE0BF30" w:rsidR="00A5022F" w:rsidRDefault="00A5022F" w:rsidP="0051380F">
            <w:pPr>
              <w:spacing w:after="120"/>
              <w:rPr>
                <w:sz w:val="20"/>
                <w:szCs w:val="20"/>
              </w:rPr>
            </w:pPr>
            <w:r w:rsidRPr="00BC3821">
              <w:rPr>
                <w:sz w:val="20"/>
                <w:szCs w:val="20"/>
              </w:rPr>
              <w:t>Payments to be made in accordance with</w:t>
            </w:r>
            <w:r w:rsidR="00E7156A">
              <w:rPr>
                <w:sz w:val="20"/>
                <w:szCs w:val="20"/>
              </w:rPr>
              <w:t xml:space="preserve"> grocery</w:t>
            </w:r>
            <w:r w:rsidRPr="00BC3821">
              <w:rPr>
                <w:sz w:val="20"/>
                <w:szCs w:val="20"/>
              </w:rPr>
              <w:t xml:space="preserve"> supply agreement</w:t>
            </w:r>
            <w:r w:rsidR="006B53A3">
              <w:rPr>
                <w:sz w:val="20"/>
                <w:szCs w:val="20"/>
              </w:rPr>
              <w:t>,</w:t>
            </w:r>
            <w:r w:rsidRPr="00BC3821">
              <w:rPr>
                <w:sz w:val="20"/>
                <w:szCs w:val="20"/>
              </w:rPr>
              <w:t xml:space="preserve"> and at a minimum within a reasonable time. </w:t>
            </w:r>
          </w:p>
          <w:p w14:paraId="41EB1744" w14:textId="77777777" w:rsidR="00A5022F" w:rsidRDefault="00A5022F" w:rsidP="00A5022F">
            <w:pPr>
              <w:rPr>
                <w:b/>
                <w:bCs/>
                <w:sz w:val="20"/>
                <w:szCs w:val="20"/>
              </w:rPr>
            </w:pPr>
            <w:r>
              <w:rPr>
                <w:b/>
                <w:bCs/>
                <w:sz w:val="20"/>
                <w:szCs w:val="20"/>
              </w:rPr>
              <w:t>Set offs</w:t>
            </w:r>
          </w:p>
          <w:p w14:paraId="17CF83B2" w14:textId="18C0C6C4" w:rsidR="00BC3821" w:rsidRPr="00A5022F" w:rsidRDefault="00856CAD" w:rsidP="00A5022F">
            <w:pPr>
              <w:rPr>
                <w:sz w:val="20"/>
                <w:szCs w:val="20"/>
              </w:rPr>
            </w:pPr>
            <w:r>
              <w:rPr>
                <w:sz w:val="20"/>
                <w:szCs w:val="20"/>
              </w:rPr>
              <w:t>S</w:t>
            </w:r>
            <w:r w:rsidRPr="00BC3821">
              <w:rPr>
                <w:sz w:val="20"/>
                <w:szCs w:val="20"/>
              </w:rPr>
              <w:t>et-offs</w:t>
            </w:r>
            <w:r w:rsidRPr="0095677E">
              <w:rPr>
                <w:sz w:val="20"/>
                <w:szCs w:val="20"/>
              </w:rPr>
              <w:t xml:space="preserve"> </w:t>
            </w:r>
            <w:r>
              <w:rPr>
                <w:sz w:val="20"/>
                <w:szCs w:val="20"/>
              </w:rPr>
              <w:t xml:space="preserve">prohibited except with the written approval of supplier and where provided for in </w:t>
            </w:r>
            <w:r w:rsidR="00E7156A">
              <w:rPr>
                <w:sz w:val="20"/>
                <w:szCs w:val="20"/>
              </w:rPr>
              <w:t>grocery</w:t>
            </w:r>
            <w:r w:rsidR="00E7156A" w:rsidRPr="00BC3821">
              <w:rPr>
                <w:sz w:val="20"/>
                <w:szCs w:val="20"/>
              </w:rPr>
              <w:t xml:space="preserve"> </w:t>
            </w:r>
            <w:r>
              <w:rPr>
                <w:sz w:val="20"/>
                <w:szCs w:val="20"/>
              </w:rPr>
              <w:t>supply agreement (which must be reasonable in the circumstances).</w:t>
            </w:r>
          </w:p>
        </w:tc>
        <w:tc>
          <w:tcPr>
            <w:tcW w:w="3260" w:type="dxa"/>
            <w:shd w:val="clear" w:color="auto" w:fill="B3D0D5"/>
          </w:tcPr>
          <w:p w14:paraId="4E855108" w14:textId="77777777" w:rsidR="00A5022F" w:rsidRDefault="00A5022F" w:rsidP="0051380F">
            <w:pPr>
              <w:pStyle w:val="Numbered"/>
              <w:numPr>
                <w:ilvl w:val="0"/>
                <w:numId w:val="0"/>
              </w:numPr>
              <w:spacing w:before="0"/>
              <w:rPr>
                <w:b/>
                <w:bCs/>
                <w:sz w:val="20"/>
                <w:szCs w:val="20"/>
              </w:rPr>
            </w:pPr>
            <w:r>
              <w:rPr>
                <w:b/>
                <w:bCs/>
                <w:sz w:val="20"/>
                <w:szCs w:val="20"/>
              </w:rPr>
              <w:t>Payment terms</w:t>
            </w:r>
          </w:p>
          <w:p w14:paraId="7E11C013" w14:textId="3A857EA4" w:rsidR="00A5022F" w:rsidRDefault="00B46280" w:rsidP="0051380F">
            <w:pPr>
              <w:spacing w:after="120"/>
              <w:rPr>
                <w:sz w:val="20"/>
                <w:szCs w:val="20"/>
              </w:rPr>
            </w:pPr>
            <w:r>
              <w:rPr>
                <w:sz w:val="20"/>
                <w:szCs w:val="20"/>
              </w:rPr>
              <w:t>Retailers to make prompt p</w:t>
            </w:r>
            <w:r w:rsidR="00A5022F" w:rsidRPr="00BC3821">
              <w:rPr>
                <w:sz w:val="20"/>
                <w:szCs w:val="20"/>
              </w:rPr>
              <w:t xml:space="preserve">ayments </w:t>
            </w:r>
            <w:r>
              <w:rPr>
                <w:sz w:val="20"/>
                <w:szCs w:val="20"/>
              </w:rPr>
              <w:t>no later than as specified in</w:t>
            </w:r>
            <w:r w:rsidR="00E7156A">
              <w:rPr>
                <w:sz w:val="20"/>
                <w:szCs w:val="20"/>
              </w:rPr>
              <w:t xml:space="preserve"> grocery</w:t>
            </w:r>
            <w:r>
              <w:rPr>
                <w:sz w:val="20"/>
                <w:szCs w:val="20"/>
              </w:rPr>
              <w:t xml:space="preserve"> supply agreement</w:t>
            </w:r>
            <w:r w:rsidR="00A5022F">
              <w:rPr>
                <w:sz w:val="20"/>
                <w:szCs w:val="20"/>
              </w:rPr>
              <w:t>.</w:t>
            </w:r>
          </w:p>
          <w:p w14:paraId="7B847096" w14:textId="77777777" w:rsidR="00A5022F" w:rsidRDefault="00A5022F" w:rsidP="00A5022F">
            <w:pPr>
              <w:rPr>
                <w:b/>
                <w:bCs/>
                <w:sz w:val="20"/>
                <w:szCs w:val="20"/>
              </w:rPr>
            </w:pPr>
            <w:r>
              <w:rPr>
                <w:b/>
                <w:bCs/>
                <w:sz w:val="20"/>
                <w:szCs w:val="20"/>
              </w:rPr>
              <w:t>Set offs</w:t>
            </w:r>
          </w:p>
          <w:p w14:paraId="5666838C" w14:textId="05D3C2EA" w:rsidR="00BC3821" w:rsidRPr="0095677E" w:rsidRDefault="00A5022F" w:rsidP="00A5022F">
            <w:pPr>
              <w:rPr>
                <w:b/>
                <w:bCs/>
                <w:sz w:val="20"/>
                <w:szCs w:val="20"/>
              </w:rPr>
            </w:pPr>
            <w:r>
              <w:rPr>
                <w:sz w:val="20"/>
                <w:szCs w:val="20"/>
              </w:rPr>
              <w:t>S</w:t>
            </w:r>
            <w:r w:rsidRPr="00BC3821">
              <w:rPr>
                <w:sz w:val="20"/>
                <w:szCs w:val="20"/>
              </w:rPr>
              <w:t>et-offs</w:t>
            </w:r>
            <w:r w:rsidRPr="0095677E">
              <w:rPr>
                <w:sz w:val="20"/>
                <w:szCs w:val="20"/>
              </w:rPr>
              <w:t xml:space="preserve"> </w:t>
            </w:r>
            <w:r w:rsidR="00856CAD">
              <w:rPr>
                <w:sz w:val="20"/>
                <w:szCs w:val="20"/>
              </w:rPr>
              <w:t xml:space="preserve">prohibited except with the </w:t>
            </w:r>
            <w:r>
              <w:rPr>
                <w:sz w:val="20"/>
                <w:szCs w:val="20"/>
              </w:rPr>
              <w:t>written approval of supplier and where provided for in</w:t>
            </w:r>
            <w:r w:rsidR="00E7156A">
              <w:rPr>
                <w:sz w:val="20"/>
                <w:szCs w:val="20"/>
              </w:rPr>
              <w:t xml:space="preserve"> grocery</w:t>
            </w:r>
            <w:r>
              <w:rPr>
                <w:sz w:val="20"/>
                <w:szCs w:val="20"/>
              </w:rPr>
              <w:t xml:space="preserve"> supply agreement (which must be reasonable in the circumstances).</w:t>
            </w:r>
          </w:p>
        </w:tc>
      </w:tr>
    </w:tbl>
    <w:p w14:paraId="3515F326" w14:textId="31B58288" w:rsidR="00E7156A" w:rsidRDefault="00B46280" w:rsidP="00B46280">
      <w:pPr>
        <w:pStyle w:val="Numbered"/>
      </w:pPr>
      <w:bookmarkStart w:id="181" w:name="_Toc103173710"/>
      <w:bookmarkStart w:id="182" w:name="_Hlk101444910"/>
      <w:r>
        <w:rPr>
          <w:b/>
          <w:bCs/>
        </w:rPr>
        <w:t>Option 1</w:t>
      </w:r>
      <w:r w:rsidR="00E7156A">
        <w:t xml:space="preserve"> is effective and durable because it provides transparent processes and timing for suppliers of designated retailers, and allow</w:t>
      </w:r>
      <w:r w:rsidR="00324524">
        <w:t>s</w:t>
      </w:r>
      <w:r w:rsidR="00E7156A">
        <w:t xml:space="preserve"> for changes over time through the grocery supply agreement.</w:t>
      </w:r>
    </w:p>
    <w:p w14:paraId="6531A9A5" w14:textId="1B5D65E3" w:rsidR="00E7156A" w:rsidRPr="000B7798" w:rsidRDefault="00E7156A" w:rsidP="00B46280">
      <w:pPr>
        <w:pStyle w:val="Numbered"/>
      </w:pPr>
      <w:r w:rsidRPr="000B7798">
        <w:rPr>
          <w:b/>
          <w:bCs/>
        </w:rPr>
        <w:t>O</w:t>
      </w:r>
      <w:r>
        <w:rPr>
          <w:b/>
          <w:bCs/>
        </w:rPr>
        <w:t>ption 2</w:t>
      </w:r>
      <w:r>
        <w:t xml:space="preserve"> is likely to be more effective than </w:t>
      </w:r>
      <w:r>
        <w:rPr>
          <w:b/>
          <w:bCs/>
        </w:rPr>
        <w:t xml:space="preserve">option </w:t>
      </w:r>
      <w:r w:rsidRPr="00E7156A">
        <w:rPr>
          <w:b/>
          <w:bCs/>
        </w:rPr>
        <w:t>1</w:t>
      </w:r>
      <w:r>
        <w:t xml:space="preserve"> </w:t>
      </w:r>
      <w:r w:rsidRPr="00E7156A">
        <w:t>because</w:t>
      </w:r>
      <w:r>
        <w:t xml:space="preserve"> it also provides certainty to suppliers that set-offs will only be applied as agreed and</w:t>
      </w:r>
      <w:r w:rsidR="00943398">
        <w:t xml:space="preserve"> be</w:t>
      </w:r>
      <w:r>
        <w:t xml:space="preserve"> reasonable in the circumstances. This reduces the likelihood that set-offs will be for costs that should be met by a designated retailer</w:t>
      </w:r>
      <w:r w:rsidR="00943398">
        <w:t>.</w:t>
      </w:r>
      <w:r>
        <w:t xml:space="preserve"> </w:t>
      </w:r>
    </w:p>
    <w:p w14:paraId="754EB432" w14:textId="6763D03B" w:rsidR="00E7156A" w:rsidRDefault="00E7156A" w:rsidP="00B46280">
      <w:pPr>
        <w:pStyle w:val="Numbered"/>
      </w:pPr>
      <w:r>
        <w:rPr>
          <w:b/>
          <w:bCs/>
        </w:rPr>
        <w:lastRenderedPageBreak/>
        <w:t xml:space="preserve">Option 3 </w:t>
      </w:r>
      <w:r>
        <w:t>is the most effective because it provides a positive obligation on designated retailers to make prompt payments, with a backstop (of the grocery supply agreement) to avoid extended payment times.</w:t>
      </w:r>
    </w:p>
    <w:p w14:paraId="7B18BE56" w14:textId="51DB9C1D" w:rsidR="00950BF6" w:rsidRPr="00950BF6" w:rsidRDefault="00E7156A" w:rsidP="00950BF6">
      <w:pPr>
        <w:pStyle w:val="Numbered"/>
      </w:pPr>
      <w:r w:rsidRPr="00950BF6">
        <w:t xml:space="preserve">All options are durable </w:t>
      </w:r>
      <w:r w:rsidR="004A737F" w:rsidRPr="00950BF6">
        <w:t xml:space="preserve">over time and can adapt to changing commercial environments </w:t>
      </w:r>
      <w:r w:rsidRPr="00950BF6">
        <w:t xml:space="preserve">because they allow for </w:t>
      </w:r>
      <w:r w:rsidR="004A737F" w:rsidRPr="00950BF6">
        <w:t xml:space="preserve">arrangements negotiated between the designated retailer and supplier via the grocery supply agreement. In terms of efficiency, </w:t>
      </w:r>
      <w:r w:rsidR="004A737F" w:rsidRPr="00950BF6">
        <w:rPr>
          <w:b/>
          <w:bCs/>
        </w:rPr>
        <w:t>options 2</w:t>
      </w:r>
      <w:r w:rsidR="004A737F" w:rsidRPr="00950BF6">
        <w:t xml:space="preserve"> and </w:t>
      </w:r>
      <w:r w:rsidR="004A737F" w:rsidRPr="00950BF6">
        <w:rPr>
          <w:b/>
          <w:bCs/>
        </w:rPr>
        <w:t xml:space="preserve">3 </w:t>
      </w:r>
      <w:r w:rsidR="004A737F" w:rsidRPr="00950BF6">
        <w:t>will have slightly higher administrative cost</w:t>
      </w:r>
      <w:r w:rsidR="00943398">
        <w:t>s</w:t>
      </w:r>
      <w:r w:rsidR="00324524">
        <w:t xml:space="preserve"> (on both the designated retailer and supplier)</w:t>
      </w:r>
      <w:r w:rsidR="004A737F" w:rsidRPr="00950BF6">
        <w:t xml:space="preserve"> due to the requirement to agree to set-offs, and </w:t>
      </w:r>
      <w:r w:rsidR="004A737F" w:rsidRPr="00950BF6">
        <w:rPr>
          <w:b/>
          <w:bCs/>
        </w:rPr>
        <w:t>option 3</w:t>
      </w:r>
      <w:r w:rsidR="004A737F" w:rsidRPr="00950BF6">
        <w:t xml:space="preserve"> will probably be</w:t>
      </w:r>
      <w:r w:rsidR="00943398">
        <w:t xml:space="preserve"> the</w:t>
      </w:r>
      <w:r w:rsidR="004A737F" w:rsidRPr="00950BF6">
        <w:t xml:space="preserve"> highest due to the need to clarify what prompt payment means. </w:t>
      </w:r>
      <w:bookmarkStart w:id="183" w:name="_Toc104358672"/>
    </w:p>
    <w:p w14:paraId="7B622350" w14:textId="7EBA6873" w:rsidR="007C7830" w:rsidRDefault="008B0276" w:rsidP="00EF3A7B">
      <w:pPr>
        <w:pStyle w:val="Heading2"/>
        <w:tabs>
          <w:tab w:val="left" w:pos="567"/>
        </w:tabs>
      </w:pPr>
      <w:bookmarkStart w:id="184" w:name="_Toc107919652"/>
      <w:r>
        <w:t>7.3</w:t>
      </w:r>
      <w:r w:rsidR="00EF3A7B">
        <w:tab/>
      </w:r>
      <w:r w:rsidR="007C7830">
        <w:t>Responses to price increases</w:t>
      </w:r>
      <w:bookmarkEnd w:id="181"/>
      <w:bookmarkEnd w:id="183"/>
      <w:bookmarkEnd w:id="184"/>
      <w:r w:rsidR="007C7830">
        <w:t xml:space="preserve"> </w:t>
      </w:r>
    </w:p>
    <w:p w14:paraId="26FBBA13" w14:textId="74EA51E5" w:rsidR="008443D6" w:rsidRDefault="007C7830" w:rsidP="00614F0C">
      <w:pPr>
        <w:pStyle w:val="Numbered"/>
      </w:pPr>
      <w:r>
        <w:t xml:space="preserve">Suppliers will, from time to time, need to request price increases. </w:t>
      </w:r>
      <w:r w:rsidR="00856CAD">
        <w:t xml:space="preserve">This </w:t>
      </w:r>
      <w:r>
        <w:t xml:space="preserve">may </w:t>
      </w:r>
      <w:r w:rsidR="008443D6">
        <w:t xml:space="preserve">be part of supply agreement negotiations, or </w:t>
      </w:r>
      <w:r>
        <w:t xml:space="preserve">it could be independent of the supply agreement. </w:t>
      </w:r>
      <w:r w:rsidR="0044692C">
        <w:t>A</w:t>
      </w:r>
      <w:r>
        <w:t>necdotal</w:t>
      </w:r>
      <w:r w:rsidR="0044692C">
        <w:t>ly</w:t>
      </w:r>
      <w:r>
        <w:t xml:space="preserve">, we hear that some suppliers have experienced significant delays </w:t>
      </w:r>
      <w:r w:rsidR="0044692C">
        <w:t>in getting a response to a request for a price increase</w:t>
      </w:r>
      <w:r w:rsidR="00825786">
        <w:t>,</w:t>
      </w:r>
      <w:r>
        <w:t xml:space="preserve"> sometimes </w:t>
      </w:r>
      <w:r w:rsidR="0044692C">
        <w:t xml:space="preserve">waiting </w:t>
      </w:r>
      <w:r>
        <w:t xml:space="preserve">up to </w:t>
      </w:r>
      <w:r w:rsidR="0044692C">
        <w:t>six</w:t>
      </w:r>
      <w:r>
        <w:t xml:space="preserve"> months.</w:t>
      </w:r>
      <w:r w:rsidR="008443D6">
        <w:t xml:space="preserve"> </w:t>
      </w:r>
    </w:p>
    <w:p w14:paraId="674D73B5" w14:textId="30072595" w:rsidR="005102E5" w:rsidRDefault="005102E5" w:rsidP="005102E5">
      <w:pPr>
        <w:pStyle w:val="Numbered"/>
      </w:pPr>
      <w:r>
        <w:t xml:space="preserve">The Code should provide certainty </w:t>
      </w:r>
      <w:r w:rsidR="00A414BB">
        <w:t xml:space="preserve">and transparency </w:t>
      </w:r>
      <w:r>
        <w:t xml:space="preserve">of process without directing the outcome of any price increase requests. </w:t>
      </w:r>
    </w:p>
    <w:p w14:paraId="55683049" w14:textId="7A756454" w:rsidR="007C7830" w:rsidRPr="001038ED" w:rsidRDefault="007C7830" w:rsidP="007C7830">
      <w:pPr>
        <w:pStyle w:val="Numbered"/>
      </w:pPr>
      <w:r>
        <w:t xml:space="preserve">The Australian Code </w:t>
      </w:r>
      <w:r w:rsidR="00856CAD">
        <w:t>requir</w:t>
      </w:r>
      <w:r w:rsidR="004A737F">
        <w:t>es</w:t>
      </w:r>
      <w:r w:rsidR="00856CAD">
        <w:t xml:space="preserve"> </w:t>
      </w:r>
      <w:r w:rsidR="00087E43">
        <w:t>a response</w:t>
      </w:r>
      <w:r w:rsidR="00856CAD">
        <w:t xml:space="preserve"> </w:t>
      </w:r>
      <w:r w:rsidR="004A737F">
        <w:t xml:space="preserve">to a price increase request </w:t>
      </w:r>
      <w:r w:rsidR="00856CAD">
        <w:t>within 30 days</w:t>
      </w:r>
      <w:r w:rsidR="004A737F">
        <w:t xml:space="preserve"> and a </w:t>
      </w:r>
      <w:r w:rsidR="00856CAD">
        <w:t>supplier may enter negotiations with the retailer if they are not satisfied with the response (</w:t>
      </w:r>
      <w:r w:rsidR="004A737F">
        <w:t xml:space="preserve">see Australian Code, </w:t>
      </w:r>
      <w:r w:rsidR="00856CAD">
        <w:t xml:space="preserve">section 27A). </w:t>
      </w:r>
      <w:r w:rsidR="008443D6">
        <w:t>The UK Code does not include any specific provisions relating to requests for price increases.</w:t>
      </w:r>
    </w:p>
    <w:p w14:paraId="36F55C7B" w14:textId="1BC511B2" w:rsidR="007C7830" w:rsidRDefault="004A737F" w:rsidP="007C7830">
      <w:pPr>
        <w:pStyle w:val="Numbered"/>
      </w:pPr>
      <w:r>
        <w:t>The o</w:t>
      </w:r>
      <w:r w:rsidR="007C7830">
        <w:t>ptions we are considering are:</w:t>
      </w:r>
    </w:p>
    <w:tbl>
      <w:tblPr>
        <w:tblStyle w:val="TableGrid2"/>
        <w:tblW w:w="9214"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2694"/>
        <w:gridCol w:w="6520"/>
      </w:tblGrid>
      <w:tr w:rsidR="00680614" w:rsidRPr="00D3390A" w14:paraId="57918177" w14:textId="77777777" w:rsidTr="003C47F9">
        <w:tc>
          <w:tcPr>
            <w:tcW w:w="2694" w:type="dxa"/>
            <w:shd w:val="clear" w:color="auto" w:fill="B3D0D5"/>
          </w:tcPr>
          <w:p w14:paraId="30996BD2" w14:textId="369C5B6D" w:rsidR="00680614" w:rsidRPr="00D3390A" w:rsidRDefault="00680614" w:rsidP="00D4658E">
            <w:pPr>
              <w:pStyle w:val="Numbered"/>
              <w:numPr>
                <w:ilvl w:val="0"/>
                <w:numId w:val="0"/>
              </w:numPr>
              <w:spacing w:before="0"/>
              <w:rPr>
                <w:sz w:val="20"/>
                <w:szCs w:val="20"/>
              </w:rPr>
            </w:pPr>
            <w:r w:rsidRPr="00D3390A">
              <w:rPr>
                <w:b/>
                <w:bCs/>
                <w:sz w:val="20"/>
                <w:szCs w:val="20"/>
              </w:rPr>
              <w:t xml:space="preserve">Option 1 (Principle-based Code): </w:t>
            </w:r>
          </w:p>
        </w:tc>
        <w:tc>
          <w:tcPr>
            <w:tcW w:w="6520" w:type="dxa"/>
            <w:shd w:val="clear" w:color="auto" w:fill="B3D0D5"/>
          </w:tcPr>
          <w:p w14:paraId="4E7E1FA9" w14:textId="3D273D40" w:rsidR="00680614" w:rsidRPr="00D3390A" w:rsidRDefault="00680614" w:rsidP="000D60E2">
            <w:pPr>
              <w:pStyle w:val="Numbered"/>
              <w:numPr>
                <w:ilvl w:val="0"/>
                <w:numId w:val="0"/>
              </w:numPr>
              <w:spacing w:before="0"/>
              <w:rPr>
                <w:sz w:val="20"/>
                <w:szCs w:val="20"/>
              </w:rPr>
            </w:pPr>
            <w:r w:rsidRPr="00D3390A">
              <w:rPr>
                <w:b/>
                <w:bCs/>
                <w:sz w:val="20"/>
                <w:szCs w:val="20"/>
              </w:rPr>
              <w:t>Option 2 (Prescriptive Code)</w:t>
            </w:r>
            <w:r>
              <w:rPr>
                <w:b/>
                <w:bCs/>
                <w:sz w:val="20"/>
                <w:szCs w:val="20"/>
              </w:rPr>
              <w:t xml:space="preserve"> &amp; Option 3 </w:t>
            </w:r>
            <w:r w:rsidRPr="00243358">
              <w:rPr>
                <w:b/>
                <w:bCs/>
                <w:sz w:val="20"/>
                <w:szCs w:val="20"/>
              </w:rPr>
              <w:t>Alternative Code</w:t>
            </w:r>
            <w:r>
              <w:rPr>
                <w:b/>
                <w:bCs/>
                <w:sz w:val="20"/>
                <w:szCs w:val="20"/>
              </w:rPr>
              <w:t>:</w:t>
            </w:r>
          </w:p>
        </w:tc>
      </w:tr>
      <w:tr w:rsidR="004459C3" w:rsidRPr="0095677E" w14:paraId="33200D24" w14:textId="77777777" w:rsidTr="00CA1097">
        <w:tc>
          <w:tcPr>
            <w:tcW w:w="2694" w:type="dxa"/>
            <w:shd w:val="clear" w:color="auto" w:fill="B3D0D5"/>
          </w:tcPr>
          <w:p w14:paraId="0420A1BA" w14:textId="3FECCC1E" w:rsidR="004459C3" w:rsidRPr="00351180" w:rsidRDefault="00D4658E" w:rsidP="00D4658E">
            <w:pPr>
              <w:pStyle w:val="Numbered"/>
              <w:numPr>
                <w:ilvl w:val="0"/>
                <w:numId w:val="0"/>
              </w:numPr>
              <w:spacing w:before="0"/>
              <w:rPr>
                <w:sz w:val="20"/>
                <w:szCs w:val="20"/>
              </w:rPr>
            </w:pPr>
            <w:r>
              <w:rPr>
                <w:sz w:val="20"/>
                <w:szCs w:val="20"/>
              </w:rPr>
              <w:t xml:space="preserve">Rely on </w:t>
            </w:r>
            <w:r w:rsidR="00856CAD">
              <w:rPr>
                <w:sz w:val="20"/>
                <w:szCs w:val="20"/>
              </w:rPr>
              <w:t>good faith</w:t>
            </w:r>
          </w:p>
        </w:tc>
        <w:tc>
          <w:tcPr>
            <w:tcW w:w="6520" w:type="dxa"/>
            <w:shd w:val="clear" w:color="auto" w:fill="B3D0D5"/>
          </w:tcPr>
          <w:p w14:paraId="6ABA8A86" w14:textId="343CE21B" w:rsidR="004459C3" w:rsidRPr="00D4658E" w:rsidRDefault="004459C3" w:rsidP="00D4658E">
            <w:pPr>
              <w:rPr>
                <w:sz w:val="20"/>
                <w:szCs w:val="20"/>
              </w:rPr>
            </w:pPr>
            <w:r w:rsidRPr="00D4658E">
              <w:rPr>
                <w:sz w:val="20"/>
                <w:szCs w:val="20"/>
              </w:rPr>
              <w:t xml:space="preserve">The retailer must respond </w:t>
            </w:r>
            <w:r w:rsidR="00DC7BA3">
              <w:rPr>
                <w:sz w:val="20"/>
                <w:szCs w:val="20"/>
              </w:rPr>
              <w:t xml:space="preserve">(accept, decline, or partially accept) </w:t>
            </w:r>
            <w:r w:rsidRPr="00D4658E">
              <w:rPr>
                <w:sz w:val="20"/>
                <w:szCs w:val="20"/>
              </w:rPr>
              <w:t xml:space="preserve">to a request for a price increase within 30 working days of receiving the request. </w:t>
            </w:r>
          </w:p>
          <w:p w14:paraId="0BE153B7" w14:textId="77777777" w:rsidR="004459C3" w:rsidRDefault="00B15342" w:rsidP="00D4658E">
            <w:pPr>
              <w:pStyle w:val="Numbered"/>
              <w:numPr>
                <w:ilvl w:val="0"/>
                <w:numId w:val="0"/>
              </w:numPr>
              <w:spacing w:before="120"/>
              <w:rPr>
                <w:sz w:val="20"/>
                <w:szCs w:val="20"/>
              </w:rPr>
            </w:pPr>
            <w:r>
              <w:rPr>
                <w:sz w:val="20"/>
                <w:szCs w:val="20"/>
              </w:rPr>
              <w:t xml:space="preserve">If the supplier is not satisfied, they may enter negotiations to be undertaken in good faith and without delay. </w:t>
            </w:r>
          </w:p>
          <w:p w14:paraId="368BFAC4" w14:textId="61504996" w:rsidR="002D4E0A" w:rsidRPr="00B15342" w:rsidRDefault="002D4E0A" w:rsidP="00D4658E">
            <w:pPr>
              <w:pStyle w:val="Numbered"/>
              <w:numPr>
                <w:ilvl w:val="0"/>
                <w:numId w:val="0"/>
              </w:numPr>
              <w:spacing w:before="120"/>
              <w:rPr>
                <w:sz w:val="20"/>
                <w:szCs w:val="20"/>
              </w:rPr>
            </w:pPr>
            <w:r w:rsidRPr="0051380F">
              <w:rPr>
                <w:sz w:val="20"/>
                <w:szCs w:val="20"/>
              </w:rPr>
              <w:t>Any information relating to negotiations for price increases would be covered by the commercially sensitive information provision (</w:t>
            </w:r>
            <w:r w:rsidRPr="0051380F">
              <w:rPr>
                <w:b/>
                <w:bCs/>
                <w:sz w:val="20"/>
                <w:szCs w:val="20"/>
              </w:rPr>
              <w:t>refer to Chapter 6.5</w:t>
            </w:r>
            <w:r w:rsidRPr="0051380F">
              <w:rPr>
                <w:sz w:val="20"/>
                <w:szCs w:val="20"/>
              </w:rPr>
              <w:t>)</w:t>
            </w:r>
          </w:p>
        </w:tc>
      </w:tr>
    </w:tbl>
    <w:p w14:paraId="6A3C6966" w14:textId="22DD91D3" w:rsidR="00856CAD" w:rsidRDefault="00856CAD" w:rsidP="00856CAD">
      <w:pPr>
        <w:pStyle w:val="Numbered"/>
      </w:pPr>
      <w:bookmarkStart w:id="185" w:name="_Toc103173711"/>
      <w:bookmarkEnd w:id="182"/>
      <w:r>
        <w:rPr>
          <w:b/>
          <w:bCs/>
        </w:rPr>
        <w:t>Option</w:t>
      </w:r>
      <w:r w:rsidR="00646015">
        <w:rPr>
          <w:b/>
          <w:bCs/>
        </w:rPr>
        <w:t>s</w:t>
      </w:r>
      <w:r>
        <w:rPr>
          <w:b/>
          <w:bCs/>
        </w:rPr>
        <w:t xml:space="preserve"> 2 (and 3) </w:t>
      </w:r>
      <w:r w:rsidR="002D4E0A">
        <w:t xml:space="preserve">are effective at improving transparency of process for suppliers, with relatively low administrative costs. </w:t>
      </w:r>
      <w:r w:rsidR="00324524">
        <w:t xml:space="preserve">Requiring payment within </w:t>
      </w:r>
      <w:r w:rsidR="002D4E0A">
        <w:t>a shorter time period would likely prove to be challenging for designated retailers. While regulating a 30-day maximum response time should improve the promptness of responses for most suppliers, it may result in some suppliers (that currently receive prompt responses) experiencing responses closer to 30 days.</w:t>
      </w:r>
    </w:p>
    <w:p w14:paraId="2AA4615F" w14:textId="4EC053C9" w:rsidR="00856CAD" w:rsidRPr="00D4658E" w:rsidRDefault="00B15342" w:rsidP="00856CAD">
      <w:pPr>
        <w:pStyle w:val="Numbered"/>
      </w:pPr>
      <w:r>
        <w:rPr>
          <w:b/>
          <w:bCs/>
        </w:rPr>
        <w:t xml:space="preserve">Option 1 </w:t>
      </w:r>
      <w:r>
        <w:t>relies on good faith to address any requests for price increases via the usual commercial relationship</w:t>
      </w:r>
      <w:r w:rsidR="00476399">
        <w:t xml:space="preserve"> and </w:t>
      </w:r>
      <w:r w:rsidR="002D4E0A">
        <w:t xml:space="preserve">will </w:t>
      </w:r>
      <w:r>
        <w:t>likely be more efficient</w:t>
      </w:r>
      <w:r w:rsidR="00476399">
        <w:t>, but potentially less effective</w:t>
      </w:r>
      <w:r>
        <w:t xml:space="preserve">. </w:t>
      </w:r>
    </w:p>
    <w:p w14:paraId="5AE24B0C" w14:textId="180BA46E" w:rsidR="007C7830" w:rsidRDefault="00552DEC" w:rsidP="00EF3A7B">
      <w:pPr>
        <w:pStyle w:val="Heading2"/>
        <w:tabs>
          <w:tab w:val="left" w:pos="567"/>
        </w:tabs>
      </w:pPr>
      <w:bookmarkStart w:id="186" w:name="_Toc104358673"/>
      <w:bookmarkStart w:id="187" w:name="_Toc107919653"/>
      <w:r>
        <w:lastRenderedPageBreak/>
        <w:t>7.4</w:t>
      </w:r>
      <w:r w:rsidR="00EF3A7B">
        <w:tab/>
      </w:r>
      <w:r w:rsidR="007C7830">
        <w:t>Payments for shrinkage</w:t>
      </w:r>
      <w:r w:rsidR="00217FE9">
        <w:t xml:space="preserve"> and</w:t>
      </w:r>
      <w:r w:rsidR="007C7830">
        <w:t xml:space="preserve"> wastage</w:t>
      </w:r>
      <w:bookmarkEnd w:id="185"/>
      <w:bookmarkEnd w:id="186"/>
      <w:bookmarkEnd w:id="187"/>
    </w:p>
    <w:p w14:paraId="3E4793B7" w14:textId="4756B8A6" w:rsidR="005F39FD" w:rsidRDefault="005F39FD" w:rsidP="00680614">
      <w:pPr>
        <w:pStyle w:val="Numbered"/>
        <w:widowControl w:val="0"/>
      </w:pPr>
      <w:r>
        <w:t>Shrinkage is a loss of grocery products due to theft, other loss or accounting error. Wastage is grocery products that are unfit for sale, for example due to damage.</w:t>
      </w:r>
      <w:r w:rsidR="00011DBC">
        <w:rPr>
          <w:rStyle w:val="FootnoteReference"/>
        </w:rPr>
        <w:footnoteReference w:id="31"/>
      </w:r>
      <w:r w:rsidR="007171AA">
        <w:t xml:space="preserve"> </w:t>
      </w:r>
      <w:r w:rsidR="004459C3">
        <w:t xml:space="preserve">These are different from </w:t>
      </w:r>
      <w:r w:rsidR="007171AA">
        <w:t>‘</w:t>
      </w:r>
      <w:r w:rsidR="00E10E8E">
        <w:t>s</w:t>
      </w:r>
      <w:r w:rsidR="007171AA">
        <w:t xml:space="preserve">hort supply’ where </w:t>
      </w:r>
      <w:r w:rsidR="004459C3">
        <w:t>a</w:t>
      </w:r>
      <w:r w:rsidR="00864C50">
        <w:t xml:space="preserve"> delivery from a supplier is less than what was ordered. </w:t>
      </w:r>
    </w:p>
    <w:p w14:paraId="1F645F5E" w14:textId="07B3BDB7" w:rsidR="004B5E78" w:rsidRDefault="004B5E78" w:rsidP="00864C50">
      <w:pPr>
        <w:pStyle w:val="Numbered"/>
      </w:pPr>
      <w:r>
        <w:t xml:space="preserve">There are existing </w:t>
      </w:r>
      <w:r w:rsidR="00E10E8E">
        <w:t>processes for addressing wastage</w:t>
      </w:r>
      <w:r w:rsidR="00864C50">
        <w:t xml:space="preserve">, including </w:t>
      </w:r>
      <w:r w:rsidR="00680614">
        <w:t>forms of</w:t>
      </w:r>
      <w:r w:rsidR="00864C50">
        <w:t xml:space="preserve"> ‘standard damage allowance’</w:t>
      </w:r>
      <w:r>
        <w:t xml:space="preserve">, that are </w:t>
      </w:r>
      <w:r w:rsidR="00680614">
        <w:t>used t</w:t>
      </w:r>
      <w:r>
        <w:t xml:space="preserve">o accommodate damage that is known to have occurred prior to the produce being received by the </w:t>
      </w:r>
      <w:r w:rsidR="00476399">
        <w:t xml:space="preserve">designated </w:t>
      </w:r>
      <w:r>
        <w:t>retailer</w:t>
      </w:r>
      <w:r w:rsidR="00680614">
        <w:t>,</w:t>
      </w:r>
      <w:r>
        <w:t xml:space="preserve"> but is not visible at the time</w:t>
      </w:r>
      <w:r w:rsidR="00680614">
        <w:t xml:space="preserve">, </w:t>
      </w:r>
      <w:r>
        <w:t>eg a consistent percentage of manufactured goods that are likely to be damaged</w:t>
      </w:r>
      <w:r w:rsidR="00864C50">
        <w:t>.</w:t>
      </w:r>
      <w:r w:rsidR="00D67A02">
        <w:rPr>
          <w:rStyle w:val="FootnoteReference"/>
        </w:rPr>
        <w:footnoteReference w:id="32"/>
      </w:r>
      <w:r w:rsidR="00864C50">
        <w:t xml:space="preserve"> </w:t>
      </w:r>
    </w:p>
    <w:p w14:paraId="5AFAA201" w14:textId="39EA4EA9" w:rsidR="005F39FD" w:rsidRDefault="004B5E78" w:rsidP="00864C50">
      <w:pPr>
        <w:pStyle w:val="Numbered"/>
      </w:pPr>
      <w:r>
        <w:t xml:space="preserve">Despite these </w:t>
      </w:r>
      <w:r w:rsidR="00864C50">
        <w:t>processes</w:t>
      </w:r>
      <w:r>
        <w:t>, there appear to have been instances of</w:t>
      </w:r>
      <w:r w:rsidR="00E10E8E">
        <w:t xml:space="preserve"> </w:t>
      </w:r>
      <w:r w:rsidR="00864C50">
        <w:t xml:space="preserve">suppliers </w:t>
      </w:r>
      <w:r>
        <w:t xml:space="preserve">being asked to meet </w:t>
      </w:r>
      <w:r w:rsidR="005F39FD">
        <w:t>cost</w:t>
      </w:r>
      <w:r w:rsidR="00E10E8E">
        <w:t>s</w:t>
      </w:r>
      <w:r w:rsidR="005F39FD">
        <w:t xml:space="preserve"> </w:t>
      </w:r>
      <w:r w:rsidR="00803B6A">
        <w:t xml:space="preserve">that </w:t>
      </w:r>
      <w:r w:rsidR="005F39FD">
        <w:t xml:space="preserve">occur after a </w:t>
      </w:r>
      <w:r w:rsidR="00476399">
        <w:t xml:space="preserve">designated </w:t>
      </w:r>
      <w:r w:rsidR="005F39FD">
        <w:t>retailer has taken possession of products for sale.</w:t>
      </w:r>
      <w:r w:rsidR="00E10E8E">
        <w:t xml:space="preserve"> For example, t</w:t>
      </w:r>
      <w:r w:rsidR="005F39FD">
        <w:t xml:space="preserve">he Commission heard of retailers making payment requests </w:t>
      </w:r>
      <w:r w:rsidR="00E10E8E">
        <w:t>for</w:t>
      </w:r>
      <w:r w:rsidR="005F39FD">
        <w:t xml:space="preserve"> stock that was not located as part of a stock count, or stock that was damaged but without evidence</w:t>
      </w:r>
      <w:r w:rsidR="00803B6A">
        <w:t xml:space="preserve"> of the damage having resulted in the supply process</w:t>
      </w:r>
      <w:r w:rsidR="005F39FD">
        <w:t xml:space="preserve">. </w:t>
      </w:r>
    </w:p>
    <w:p w14:paraId="34520139" w14:textId="2BE56458" w:rsidR="00D67A02" w:rsidRDefault="00D67A02" w:rsidP="00864C50">
      <w:pPr>
        <w:pStyle w:val="Numbered"/>
      </w:pPr>
      <w:r>
        <w:t>Additionally, we have heard anecdotal</w:t>
      </w:r>
      <w:r w:rsidR="00803B6A">
        <w:t>ly</w:t>
      </w:r>
      <w:r>
        <w:t xml:space="preserve"> of requests for payments for wastage for many years past, which are difficult for a supplier to address.</w:t>
      </w:r>
    </w:p>
    <w:p w14:paraId="0CAAECF8" w14:textId="14586E57" w:rsidR="00011DBC" w:rsidRPr="00011DBC" w:rsidRDefault="00011DBC" w:rsidP="00011DBC">
      <w:pPr>
        <w:pStyle w:val="Numbered"/>
      </w:pPr>
      <w:bookmarkStart w:id="188" w:name="_Hlk103876827"/>
      <w:r>
        <w:t xml:space="preserve">The Code should provide certainty for suppliers by limiting unacceptable conduct </w:t>
      </w:r>
      <w:r w:rsidR="00803B6A">
        <w:t xml:space="preserve">by </w:t>
      </w:r>
      <w:r w:rsidR="00E468E4">
        <w:t xml:space="preserve">designated </w:t>
      </w:r>
      <w:r w:rsidR="00803B6A">
        <w:t xml:space="preserve">retailers </w:t>
      </w:r>
      <w:r>
        <w:t xml:space="preserve">in relation to shrinkage and wastage and providing direction on where costs should appropriately lie. </w:t>
      </w:r>
    </w:p>
    <w:bookmarkEnd w:id="188"/>
    <w:p w14:paraId="3C93E852" w14:textId="1F8DB3E9" w:rsidR="00E67378" w:rsidRDefault="00E67378" w:rsidP="00E67378">
      <w:pPr>
        <w:pStyle w:val="Numbered"/>
      </w:pPr>
      <w:r>
        <w:t xml:space="preserve">The Commission recommended that payments for shrinkage should be prohibited </w:t>
      </w:r>
      <w:r w:rsidR="00E468E4">
        <w:t xml:space="preserve">outright, and payments for wastage should be prohibited </w:t>
      </w:r>
      <w:r>
        <w:t>except in the circumstance where the supplier is responsible for the wastage.</w:t>
      </w:r>
      <w:r>
        <w:rPr>
          <w:rStyle w:val="FootnoteReference"/>
        </w:rPr>
        <w:footnoteReference w:id="33"/>
      </w:r>
      <w:r>
        <w:t xml:space="preserve"> </w:t>
      </w:r>
    </w:p>
    <w:p w14:paraId="78A56985" w14:textId="4BD6C833" w:rsidR="005F39FD" w:rsidRDefault="00311163" w:rsidP="00311163">
      <w:pPr>
        <w:pStyle w:val="Numbered"/>
      </w:pPr>
      <w:r>
        <w:t xml:space="preserve">Both the UK and Australian </w:t>
      </w:r>
      <w:r w:rsidR="00E361E0">
        <w:t>C</w:t>
      </w:r>
      <w:r>
        <w:t>odes prohibit payments for shrinkage, and do not allow for any supply agreement to include provisions relating to payments for shrinkage</w:t>
      </w:r>
      <w:r w:rsidR="00E67378">
        <w:t xml:space="preserve"> (</w:t>
      </w:r>
      <w:r w:rsidR="00E468E4">
        <w:t>see</w:t>
      </w:r>
      <w:r w:rsidR="000D60E2">
        <w:t xml:space="preserve"> </w:t>
      </w:r>
      <w:r w:rsidR="00E67378">
        <w:t>the UK Code, article 7)</w:t>
      </w:r>
      <w:r>
        <w:t xml:space="preserve">. The only exception </w:t>
      </w:r>
      <w:r w:rsidR="00E10E8E">
        <w:t>is</w:t>
      </w:r>
      <w:r>
        <w:t xml:space="preserve"> that Australian retailers may discuss ways to reduce the likelihood of shrinkage occurring</w:t>
      </w:r>
      <w:r w:rsidR="00E67378">
        <w:t xml:space="preserve"> (</w:t>
      </w:r>
      <w:r w:rsidR="00E468E4">
        <w:t xml:space="preserve">see </w:t>
      </w:r>
      <w:r w:rsidR="00E67378">
        <w:t>the Australian Code</w:t>
      </w:r>
      <w:r w:rsidR="007258B8">
        <w:t>, section 13</w:t>
      </w:r>
      <w:r w:rsidR="00E67378">
        <w:t>)</w:t>
      </w:r>
      <w:r>
        <w:t xml:space="preserve">. </w:t>
      </w:r>
    </w:p>
    <w:p w14:paraId="2E2A8A80" w14:textId="49003032" w:rsidR="00E361E0" w:rsidRDefault="00E468E4" w:rsidP="00E361E0">
      <w:pPr>
        <w:pStyle w:val="Numbered"/>
      </w:pPr>
      <w:r>
        <w:t>T</w:t>
      </w:r>
      <w:r w:rsidR="00311163">
        <w:t xml:space="preserve">he UK </w:t>
      </w:r>
      <w:r w:rsidR="000D60E2">
        <w:t>and</w:t>
      </w:r>
      <w:r w:rsidR="00311163">
        <w:t xml:space="preserve"> Australia</w:t>
      </w:r>
      <w:r w:rsidR="00E361E0">
        <w:t>n Codes</w:t>
      </w:r>
      <w:r w:rsidR="00311163">
        <w:t xml:space="preserve"> </w:t>
      </w:r>
      <w:r w:rsidR="005238CF">
        <w:t xml:space="preserve">both </w:t>
      </w:r>
      <w:r w:rsidR="00311163">
        <w:t>prohibit p</w:t>
      </w:r>
      <w:r w:rsidR="005F39FD">
        <w:t>ayments for wastage</w:t>
      </w:r>
      <w:r w:rsidR="00E67378">
        <w:t xml:space="preserve"> </w:t>
      </w:r>
      <w:r w:rsidR="005238CF">
        <w:t xml:space="preserve">except where they are set out in the supply agreement, provided the wastage is due to negligence of the supplier, and/or the payments are reasonable in the circumstances </w:t>
      </w:r>
      <w:r w:rsidR="00E67378">
        <w:t>(refer to the UK Code, article 8 and the Australian Code</w:t>
      </w:r>
      <w:r w:rsidR="007258B8">
        <w:t>, section 14</w:t>
      </w:r>
      <w:r w:rsidR="00E67378">
        <w:t>)</w:t>
      </w:r>
      <w:r w:rsidR="005F39FD">
        <w:t>.</w:t>
      </w:r>
      <w:r w:rsidR="00E67378">
        <w:t xml:space="preserve"> </w:t>
      </w:r>
      <w:r w:rsidR="005F39FD">
        <w:t xml:space="preserve"> </w:t>
      </w:r>
    </w:p>
    <w:p w14:paraId="6B1B0E62" w14:textId="6CD88AB9" w:rsidR="005F39FD" w:rsidRDefault="005238CF" w:rsidP="008254A7">
      <w:pPr>
        <w:pStyle w:val="Numbered"/>
        <w:keepNext/>
      </w:pPr>
      <w:r>
        <w:lastRenderedPageBreak/>
        <w:t>The o</w:t>
      </w:r>
      <w:r w:rsidR="005F39FD">
        <w:t>ptions we are considering are:</w:t>
      </w:r>
    </w:p>
    <w:tbl>
      <w:tblPr>
        <w:tblStyle w:val="TableGrid"/>
        <w:tblW w:w="8647"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2694"/>
        <w:gridCol w:w="3543"/>
        <w:gridCol w:w="2410"/>
      </w:tblGrid>
      <w:tr w:rsidR="00D90FD5" w:rsidRPr="00D3390A" w14:paraId="6E6C345A" w14:textId="77777777" w:rsidTr="0096011B">
        <w:tc>
          <w:tcPr>
            <w:tcW w:w="2694" w:type="dxa"/>
            <w:shd w:val="clear" w:color="auto" w:fill="B3D0D5"/>
          </w:tcPr>
          <w:p w14:paraId="4EF35BB1" w14:textId="4F8C36A5" w:rsidR="00D90FD5" w:rsidRPr="005238CF" w:rsidRDefault="00D90FD5" w:rsidP="008254A7">
            <w:pPr>
              <w:pStyle w:val="Numbered"/>
              <w:keepNext/>
              <w:numPr>
                <w:ilvl w:val="0"/>
                <w:numId w:val="0"/>
              </w:numPr>
              <w:spacing w:before="0"/>
              <w:rPr>
                <w:sz w:val="20"/>
                <w:szCs w:val="20"/>
              </w:rPr>
            </w:pPr>
            <w:r w:rsidRPr="005238CF">
              <w:rPr>
                <w:b/>
                <w:bCs/>
                <w:sz w:val="20"/>
                <w:szCs w:val="20"/>
              </w:rPr>
              <w:t xml:space="preserve">Option 1 (Principle-based Code): </w:t>
            </w:r>
          </w:p>
        </w:tc>
        <w:tc>
          <w:tcPr>
            <w:tcW w:w="3543" w:type="dxa"/>
            <w:shd w:val="clear" w:color="auto" w:fill="B3D0D5"/>
          </w:tcPr>
          <w:p w14:paraId="6911864A" w14:textId="7CE4E1DD" w:rsidR="00D90FD5" w:rsidRPr="005238CF" w:rsidRDefault="00D3390A" w:rsidP="008254A7">
            <w:pPr>
              <w:pStyle w:val="Numbered"/>
              <w:keepNext/>
              <w:numPr>
                <w:ilvl w:val="0"/>
                <w:numId w:val="0"/>
              </w:numPr>
              <w:spacing w:before="0"/>
              <w:rPr>
                <w:sz w:val="20"/>
                <w:szCs w:val="20"/>
              </w:rPr>
            </w:pPr>
            <w:r w:rsidRPr="00D3390A">
              <w:rPr>
                <w:b/>
                <w:bCs/>
                <w:sz w:val="20"/>
                <w:szCs w:val="20"/>
              </w:rPr>
              <w:t>Option 2 (Prescriptive Code):</w:t>
            </w:r>
          </w:p>
        </w:tc>
        <w:tc>
          <w:tcPr>
            <w:tcW w:w="2410" w:type="dxa"/>
            <w:shd w:val="clear" w:color="auto" w:fill="B3D0D5"/>
          </w:tcPr>
          <w:p w14:paraId="6059C1C9" w14:textId="0E6628C5" w:rsidR="00D90FD5" w:rsidRPr="005238CF" w:rsidRDefault="00D90FD5" w:rsidP="008254A7">
            <w:pPr>
              <w:pStyle w:val="Numbered"/>
              <w:keepNext/>
              <w:numPr>
                <w:ilvl w:val="0"/>
                <w:numId w:val="0"/>
              </w:numPr>
              <w:spacing w:before="0"/>
              <w:rPr>
                <w:b/>
                <w:bCs/>
                <w:sz w:val="20"/>
                <w:szCs w:val="20"/>
              </w:rPr>
            </w:pPr>
            <w:r w:rsidRPr="005238CF">
              <w:rPr>
                <w:b/>
                <w:bCs/>
                <w:sz w:val="20"/>
                <w:szCs w:val="20"/>
              </w:rPr>
              <w:t>Option 3 (</w:t>
            </w:r>
            <w:r w:rsidR="00D3390A" w:rsidRPr="00D3390A">
              <w:rPr>
                <w:b/>
                <w:bCs/>
                <w:sz w:val="20"/>
                <w:szCs w:val="20"/>
              </w:rPr>
              <w:t xml:space="preserve">Alternative </w:t>
            </w:r>
            <w:r w:rsidRPr="005238CF">
              <w:rPr>
                <w:b/>
                <w:bCs/>
                <w:sz w:val="20"/>
                <w:szCs w:val="20"/>
              </w:rPr>
              <w:t xml:space="preserve">Code): </w:t>
            </w:r>
          </w:p>
        </w:tc>
      </w:tr>
      <w:tr w:rsidR="00D67A02" w:rsidRPr="0095677E" w14:paraId="5D04B851" w14:textId="77777777" w:rsidTr="00D67A02">
        <w:tc>
          <w:tcPr>
            <w:tcW w:w="2694" w:type="dxa"/>
            <w:shd w:val="clear" w:color="auto" w:fill="B3D0D5"/>
          </w:tcPr>
          <w:p w14:paraId="63354D32" w14:textId="11927797" w:rsidR="00D67A02" w:rsidRPr="00311163" w:rsidRDefault="00D67A02" w:rsidP="00CE28F6">
            <w:pPr>
              <w:rPr>
                <w:b/>
                <w:bCs/>
                <w:sz w:val="20"/>
                <w:szCs w:val="20"/>
              </w:rPr>
            </w:pPr>
            <w:r w:rsidRPr="00311163">
              <w:rPr>
                <w:b/>
                <w:bCs/>
                <w:sz w:val="20"/>
                <w:szCs w:val="20"/>
              </w:rPr>
              <w:t xml:space="preserve">No payments for shrinkage </w:t>
            </w:r>
          </w:p>
          <w:p w14:paraId="0B01FFD4" w14:textId="5D7D8DC6" w:rsidR="00D67A02" w:rsidRDefault="00D67A02" w:rsidP="000D60E2">
            <w:pPr>
              <w:pStyle w:val="Numbered"/>
              <w:numPr>
                <w:ilvl w:val="0"/>
                <w:numId w:val="0"/>
              </w:numPr>
              <w:spacing w:before="0" w:after="120"/>
              <w:rPr>
                <w:sz w:val="20"/>
                <w:szCs w:val="20"/>
              </w:rPr>
            </w:pPr>
            <w:r w:rsidRPr="00567F1C">
              <w:rPr>
                <w:sz w:val="20"/>
                <w:szCs w:val="20"/>
              </w:rPr>
              <w:t>Prohibit</w:t>
            </w:r>
            <w:r>
              <w:rPr>
                <w:sz w:val="20"/>
                <w:szCs w:val="20"/>
              </w:rPr>
              <w:t>ed</w:t>
            </w:r>
            <w:r w:rsidR="007258B8">
              <w:rPr>
                <w:sz w:val="20"/>
                <w:szCs w:val="20"/>
              </w:rPr>
              <w:t>.</w:t>
            </w:r>
          </w:p>
          <w:p w14:paraId="51AF53E0" w14:textId="690F2012" w:rsidR="00D67A02" w:rsidRPr="00E361E0" w:rsidRDefault="00D67A02" w:rsidP="00CE28F6">
            <w:pPr>
              <w:rPr>
                <w:b/>
                <w:bCs/>
                <w:sz w:val="20"/>
                <w:szCs w:val="20"/>
              </w:rPr>
            </w:pPr>
            <w:r w:rsidRPr="00E361E0">
              <w:rPr>
                <w:b/>
                <w:bCs/>
                <w:sz w:val="20"/>
                <w:szCs w:val="20"/>
              </w:rPr>
              <w:t>Payments for Wastage</w:t>
            </w:r>
            <w:r>
              <w:rPr>
                <w:b/>
                <w:bCs/>
                <w:sz w:val="20"/>
                <w:szCs w:val="20"/>
              </w:rPr>
              <w:t xml:space="preserve"> </w:t>
            </w:r>
          </w:p>
          <w:p w14:paraId="41EB7C2F" w14:textId="25E3ADEA" w:rsidR="00D67A02" w:rsidRPr="00CE28F6" w:rsidRDefault="00D67A02" w:rsidP="0096011B">
            <w:pPr>
              <w:rPr>
                <w:sz w:val="20"/>
                <w:szCs w:val="20"/>
              </w:rPr>
            </w:pPr>
            <w:r>
              <w:rPr>
                <w:sz w:val="20"/>
                <w:szCs w:val="20"/>
              </w:rPr>
              <w:t xml:space="preserve">No </w:t>
            </w:r>
            <w:r w:rsidRPr="00D90FD5">
              <w:rPr>
                <w:sz w:val="20"/>
                <w:szCs w:val="20"/>
              </w:rPr>
              <w:t xml:space="preserve">payments for wastage </w:t>
            </w:r>
            <w:r>
              <w:rPr>
                <w:sz w:val="20"/>
                <w:szCs w:val="20"/>
              </w:rPr>
              <w:t xml:space="preserve">except where </w:t>
            </w:r>
            <w:r w:rsidRPr="00D90FD5">
              <w:rPr>
                <w:sz w:val="20"/>
                <w:szCs w:val="20"/>
              </w:rPr>
              <w:t xml:space="preserve">set out in </w:t>
            </w:r>
            <w:r w:rsidR="005238CF">
              <w:rPr>
                <w:sz w:val="20"/>
                <w:szCs w:val="20"/>
              </w:rPr>
              <w:t xml:space="preserve">grocery </w:t>
            </w:r>
            <w:r w:rsidRPr="00D90FD5">
              <w:rPr>
                <w:sz w:val="20"/>
                <w:szCs w:val="20"/>
              </w:rPr>
              <w:t>supply agreement</w:t>
            </w:r>
            <w:r>
              <w:rPr>
                <w:sz w:val="20"/>
                <w:szCs w:val="20"/>
              </w:rPr>
              <w:t xml:space="preserve"> and the payment is due to negligence of the supplier. Supply agreement must also outline the basis of any payment.</w:t>
            </w:r>
          </w:p>
        </w:tc>
        <w:tc>
          <w:tcPr>
            <w:tcW w:w="3543" w:type="dxa"/>
            <w:shd w:val="clear" w:color="auto" w:fill="B3D0D5"/>
          </w:tcPr>
          <w:p w14:paraId="2ED4A4D4" w14:textId="77777777" w:rsidR="00D67A02" w:rsidRPr="00311163" w:rsidRDefault="00D67A02" w:rsidP="00CE28F6">
            <w:pPr>
              <w:rPr>
                <w:b/>
                <w:bCs/>
                <w:sz w:val="20"/>
                <w:szCs w:val="20"/>
              </w:rPr>
            </w:pPr>
            <w:r>
              <w:rPr>
                <w:b/>
                <w:bCs/>
                <w:sz w:val="20"/>
                <w:szCs w:val="20"/>
              </w:rPr>
              <w:t>P</w:t>
            </w:r>
            <w:r w:rsidRPr="00311163">
              <w:rPr>
                <w:b/>
                <w:bCs/>
                <w:sz w:val="20"/>
                <w:szCs w:val="20"/>
              </w:rPr>
              <w:t xml:space="preserve">ayments for shrinkage </w:t>
            </w:r>
          </w:p>
          <w:p w14:paraId="2EC413FC" w14:textId="77777777" w:rsidR="00D67A02" w:rsidRDefault="00D67A02" w:rsidP="00567F1C">
            <w:pPr>
              <w:rPr>
                <w:sz w:val="20"/>
                <w:szCs w:val="20"/>
              </w:rPr>
            </w:pPr>
            <w:r w:rsidRPr="00D90FD5">
              <w:rPr>
                <w:sz w:val="20"/>
                <w:szCs w:val="20"/>
              </w:rPr>
              <w:t>Prohibi</w:t>
            </w:r>
            <w:r>
              <w:rPr>
                <w:sz w:val="20"/>
                <w:szCs w:val="20"/>
              </w:rPr>
              <w:t>ted.</w:t>
            </w:r>
          </w:p>
          <w:p w14:paraId="61BD88A4" w14:textId="5F804699" w:rsidR="00D67A02" w:rsidRDefault="00476399" w:rsidP="000D60E2">
            <w:pPr>
              <w:pStyle w:val="Numbered"/>
              <w:numPr>
                <w:ilvl w:val="0"/>
                <w:numId w:val="0"/>
              </w:numPr>
              <w:spacing w:before="0" w:after="120"/>
              <w:rPr>
                <w:sz w:val="20"/>
                <w:szCs w:val="20"/>
              </w:rPr>
            </w:pPr>
            <w:r w:rsidRPr="00476399">
              <w:rPr>
                <w:sz w:val="20"/>
                <w:szCs w:val="20"/>
              </w:rPr>
              <w:t>Designated r</w:t>
            </w:r>
            <w:r w:rsidR="00D67A02" w:rsidRPr="00476399">
              <w:rPr>
                <w:sz w:val="20"/>
                <w:szCs w:val="20"/>
              </w:rPr>
              <w:t xml:space="preserve">etailer may discuss ways </w:t>
            </w:r>
            <w:r w:rsidR="00D67A02">
              <w:rPr>
                <w:sz w:val="20"/>
                <w:szCs w:val="20"/>
              </w:rPr>
              <w:t xml:space="preserve">to mitigate the risk of shrinkage. </w:t>
            </w:r>
          </w:p>
          <w:p w14:paraId="29773768" w14:textId="77777777" w:rsidR="00D67A02" w:rsidRPr="00E361E0" w:rsidRDefault="00D67A02" w:rsidP="00D67A02">
            <w:pPr>
              <w:rPr>
                <w:b/>
                <w:bCs/>
                <w:sz w:val="20"/>
                <w:szCs w:val="20"/>
              </w:rPr>
            </w:pPr>
            <w:r w:rsidRPr="00E361E0">
              <w:rPr>
                <w:b/>
                <w:bCs/>
                <w:sz w:val="20"/>
                <w:szCs w:val="20"/>
              </w:rPr>
              <w:t>Payments for wastage</w:t>
            </w:r>
          </w:p>
          <w:p w14:paraId="70F63FA6" w14:textId="77777777" w:rsidR="00476399" w:rsidRDefault="00D67A02" w:rsidP="00476399">
            <w:pPr>
              <w:spacing w:after="120"/>
              <w:rPr>
                <w:sz w:val="20"/>
                <w:szCs w:val="20"/>
              </w:rPr>
            </w:pPr>
            <w:r>
              <w:rPr>
                <w:sz w:val="20"/>
                <w:szCs w:val="20"/>
              </w:rPr>
              <w:t xml:space="preserve">No </w:t>
            </w:r>
            <w:r w:rsidRPr="00D90FD5">
              <w:rPr>
                <w:sz w:val="20"/>
                <w:szCs w:val="20"/>
              </w:rPr>
              <w:t xml:space="preserve">payments for wastage </w:t>
            </w:r>
            <w:r>
              <w:rPr>
                <w:sz w:val="20"/>
                <w:szCs w:val="20"/>
              </w:rPr>
              <w:t>except if the wastage is the responsibility of the supplier and the</w:t>
            </w:r>
            <w:r w:rsidR="005238CF">
              <w:rPr>
                <w:sz w:val="20"/>
                <w:szCs w:val="20"/>
              </w:rPr>
              <w:t xml:space="preserve"> designated</w:t>
            </w:r>
            <w:r>
              <w:rPr>
                <w:sz w:val="20"/>
                <w:szCs w:val="20"/>
              </w:rPr>
              <w:t xml:space="preserve"> retailer has taken reasonable steps to mitigate wastage. </w:t>
            </w:r>
          </w:p>
          <w:p w14:paraId="0763EFC1" w14:textId="61B4D257" w:rsidR="00D67A02" w:rsidRDefault="00D67A02" w:rsidP="00D67A02">
            <w:pPr>
              <w:rPr>
                <w:sz w:val="20"/>
                <w:szCs w:val="20"/>
              </w:rPr>
            </w:pPr>
            <w:r>
              <w:rPr>
                <w:sz w:val="20"/>
                <w:szCs w:val="20"/>
              </w:rPr>
              <w:t xml:space="preserve">Any payments must also be as set out in the relevant </w:t>
            </w:r>
            <w:r w:rsidR="005238CF">
              <w:rPr>
                <w:sz w:val="20"/>
                <w:szCs w:val="20"/>
              </w:rPr>
              <w:t xml:space="preserve">grocery </w:t>
            </w:r>
            <w:r>
              <w:rPr>
                <w:sz w:val="20"/>
                <w:szCs w:val="20"/>
              </w:rPr>
              <w:t>supply agreement, including the circumstances where the payment is required and the basis of the payment. This must be reasonable in the circumstances.</w:t>
            </w:r>
          </w:p>
        </w:tc>
        <w:tc>
          <w:tcPr>
            <w:tcW w:w="2410" w:type="dxa"/>
            <w:shd w:val="clear" w:color="auto" w:fill="B3D0D5"/>
          </w:tcPr>
          <w:p w14:paraId="46E00889" w14:textId="77777777" w:rsidR="00D67A02" w:rsidRPr="000D60E2" w:rsidRDefault="00D67A02" w:rsidP="005C0157">
            <w:pPr>
              <w:pStyle w:val="Numbered"/>
              <w:numPr>
                <w:ilvl w:val="0"/>
                <w:numId w:val="0"/>
              </w:numPr>
              <w:spacing w:before="0"/>
              <w:rPr>
                <w:b/>
                <w:bCs/>
                <w:sz w:val="20"/>
                <w:szCs w:val="20"/>
              </w:rPr>
            </w:pPr>
            <w:r w:rsidRPr="000D60E2">
              <w:rPr>
                <w:b/>
                <w:bCs/>
                <w:sz w:val="20"/>
                <w:szCs w:val="20"/>
              </w:rPr>
              <w:t>Option 2 plus</w:t>
            </w:r>
          </w:p>
          <w:p w14:paraId="58EED240" w14:textId="62729B18" w:rsidR="00D67A02" w:rsidRPr="002B3346" w:rsidRDefault="00D67A02" w:rsidP="002B3346">
            <w:pPr>
              <w:rPr>
                <w:sz w:val="20"/>
                <w:szCs w:val="20"/>
              </w:rPr>
            </w:pPr>
            <w:r>
              <w:rPr>
                <w:sz w:val="20"/>
                <w:szCs w:val="20"/>
              </w:rPr>
              <w:t xml:space="preserve">Sunset clause </w:t>
            </w:r>
            <w:r w:rsidR="007B5119">
              <w:rPr>
                <w:sz w:val="20"/>
                <w:szCs w:val="20"/>
              </w:rPr>
              <w:t xml:space="preserve">which </w:t>
            </w:r>
            <w:r>
              <w:rPr>
                <w:sz w:val="20"/>
                <w:szCs w:val="20"/>
              </w:rPr>
              <w:t>prohibit</w:t>
            </w:r>
            <w:r w:rsidR="007B5119">
              <w:rPr>
                <w:sz w:val="20"/>
                <w:szCs w:val="20"/>
              </w:rPr>
              <w:t>s</w:t>
            </w:r>
            <w:r>
              <w:rPr>
                <w:sz w:val="20"/>
                <w:szCs w:val="20"/>
              </w:rPr>
              <w:t xml:space="preserve"> </w:t>
            </w:r>
            <w:r w:rsidR="00476399">
              <w:rPr>
                <w:sz w:val="20"/>
                <w:szCs w:val="20"/>
              </w:rPr>
              <w:t xml:space="preserve">designated retailers requesting </w:t>
            </w:r>
            <w:r>
              <w:rPr>
                <w:sz w:val="20"/>
                <w:szCs w:val="20"/>
              </w:rPr>
              <w:t xml:space="preserve">payments for wastage older than </w:t>
            </w:r>
            <w:r w:rsidR="007258B8">
              <w:rPr>
                <w:sz w:val="20"/>
                <w:szCs w:val="20"/>
              </w:rPr>
              <w:t>six</w:t>
            </w:r>
            <w:r>
              <w:rPr>
                <w:sz w:val="20"/>
                <w:szCs w:val="20"/>
              </w:rPr>
              <w:t xml:space="preserve"> months. </w:t>
            </w:r>
          </w:p>
        </w:tc>
      </w:tr>
    </w:tbl>
    <w:p w14:paraId="21263658" w14:textId="342E0A3E" w:rsidR="00E67378" w:rsidRDefault="0043335A" w:rsidP="00E67378">
      <w:pPr>
        <w:pStyle w:val="Numbered"/>
      </w:pPr>
      <w:bookmarkStart w:id="189" w:name="_Toc103173712"/>
      <w:r>
        <w:rPr>
          <w:b/>
          <w:bCs/>
        </w:rPr>
        <w:t xml:space="preserve">Options 1 and 2 </w:t>
      </w:r>
      <w:r w:rsidR="00F42E36">
        <w:t xml:space="preserve">are </w:t>
      </w:r>
      <w:r>
        <w:t xml:space="preserve">both </w:t>
      </w:r>
      <w:r w:rsidR="00F42E36">
        <w:t xml:space="preserve">effective at </w:t>
      </w:r>
      <w:r>
        <w:t>protecti</w:t>
      </w:r>
      <w:r w:rsidR="00F42E36">
        <w:t>ng</w:t>
      </w:r>
      <w:r>
        <w:t xml:space="preserve"> suppliers from unjustified requests for payments for shrinkage or wastage</w:t>
      </w:r>
      <w:r w:rsidR="00F42E36">
        <w:t xml:space="preserve"> that are the responsibility of the designated retailer</w:t>
      </w:r>
      <w:r>
        <w:t xml:space="preserve">. </w:t>
      </w:r>
      <w:r w:rsidR="00F42E36">
        <w:t xml:space="preserve">They are also durable because they </w:t>
      </w:r>
      <w:r w:rsidRPr="0043335A">
        <w:t>allow</w:t>
      </w:r>
      <w:r w:rsidR="00F42E36">
        <w:t xml:space="preserve"> for </w:t>
      </w:r>
      <w:r>
        <w:t>payments for wastage</w:t>
      </w:r>
      <w:r w:rsidR="00F42E36">
        <w:t xml:space="preserve"> in precise (and relatively appropriate) circumstances </w:t>
      </w:r>
      <w:r w:rsidR="00476399">
        <w:t xml:space="preserve">– </w:t>
      </w:r>
      <w:r w:rsidR="00F42E36">
        <w:t>being</w:t>
      </w:r>
      <w:r>
        <w:t xml:space="preserve">, in accordance with </w:t>
      </w:r>
      <w:r w:rsidR="00F42E36">
        <w:t xml:space="preserve">grocery </w:t>
      </w:r>
      <w:r>
        <w:t>supply agreements and where the wastage has occurred because of a</w:t>
      </w:r>
      <w:r w:rsidR="00D67A02">
        <w:t>n issue</w:t>
      </w:r>
      <w:r>
        <w:t xml:space="preserve"> on the supplier’s part. </w:t>
      </w:r>
    </w:p>
    <w:p w14:paraId="631315D3" w14:textId="3DEE6A4E" w:rsidR="00E67378" w:rsidRDefault="00F42E36" w:rsidP="00E67378">
      <w:pPr>
        <w:pStyle w:val="Numbered"/>
      </w:pPr>
      <w:r>
        <w:t xml:space="preserve">All options </w:t>
      </w:r>
      <w:r w:rsidR="0043335A">
        <w:t>are flexible</w:t>
      </w:r>
      <w:r>
        <w:t xml:space="preserve"> and should be able</w:t>
      </w:r>
      <w:r w:rsidR="0043335A">
        <w:t xml:space="preserve"> to </w:t>
      </w:r>
      <w:r>
        <w:t xml:space="preserve">accommodate </w:t>
      </w:r>
      <w:r w:rsidR="0043335A">
        <w:t>wastage provisions that operate on an individual case-by-case basis</w:t>
      </w:r>
      <w:r w:rsidR="00D67A02">
        <w:t xml:space="preserve">, or a more systematised ‘standard damage allowance’ basis. </w:t>
      </w:r>
    </w:p>
    <w:p w14:paraId="40273879" w14:textId="20E98DCC" w:rsidR="00D67A02" w:rsidRDefault="00D67A02" w:rsidP="00E67378">
      <w:pPr>
        <w:pStyle w:val="Numbered"/>
      </w:pPr>
      <w:r>
        <w:rPr>
          <w:b/>
          <w:bCs/>
        </w:rPr>
        <w:t xml:space="preserve">Option 3 </w:t>
      </w:r>
      <w:r w:rsidR="00F42E36">
        <w:t xml:space="preserve">is more effective and should be more durable than </w:t>
      </w:r>
      <w:r w:rsidR="00F42E36" w:rsidRPr="00F42E36">
        <w:rPr>
          <w:b/>
          <w:bCs/>
        </w:rPr>
        <w:t xml:space="preserve">options 1 </w:t>
      </w:r>
      <w:r w:rsidR="00F42E36" w:rsidRPr="00F42E36">
        <w:t>and</w:t>
      </w:r>
      <w:r w:rsidR="00F42E36" w:rsidRPr="00F42E36">
        <w:rPr>
          <w:b/>
          <w:bCs/>
        </w:rPr>
        <w:t xml:space="preserve"> 2</w:t>
      </w:r>
      <w:r w:rsidR="00F42E36">
        <w:t xml:space="preserve"> because it also </w:t>
      </w:r>
      <w:r>
        <w:t xml:space="preserve">provides the additional protection of a sunset clause </w:t>
      </w:r>
      <w:r w:rsidR="007B5119">
        <w:t xml:space="preserve">which </w:t>
      </w:r>
      <w:r>
        <w:t>prohibit</w:t>
      </w:r>
      <w:r w:rsidR="007B5119">
        <w:t>s</w:t>
      </w:r>
      <w:r>
        <w:t xml:space="preserve"> any payments for wastage older than </w:t>
      </w:r>
      <w:r w:rsidR="007B5119">
        <w:t>six</w:t>
      </w:r>
      <w:r>
        <w:t xml:space="preserve"> months. </w:t>
      </w:r>
    </w:p>
    <w:p w14:paraId="4903C282" w14:textId="1E39E16B" w:rsidR="003A13DB" w:rsidRDefault="002B3346" w:rsidP="00990505">
      <w:pPr>
        <w:pStyle w:val="Heading2"/>
        <w:tabs>
          <w:tab w:val="left" w:pos="567"/>
        </w:tabs>
      </w:pPr>
      <w:bookmarkStart w:id="190" w:name="_Toc104358674"/>
      <w:bookmarkStart w:id="191" w:name="_Toc107919654"/>
      <w:r>
        <w:t>7.5</w:t>
      </w:r>
      <w:r w:rsidR="00990505">
        <w:tab/>
      </w:r>
      <w:r w:rsidR="003A13DB">
        <w:t>Payments for retailer</w:t>
      </w:r>
      <w:r w:rsidR="00D63161">
        <w:t>’</w:t>
      </w:r>
      <w:r w:rsidR="003A13DB">
        <w:t>s business activities</w:t>
      </w:r>
      <w:r w:rsidR="00A74B63">
        <w:t>, product placement,</w:t>
      </w:r>
      <w:r w:rsidR="003A13DB">
        <w:t xml:space="preserve"> and </w:t>
      </w:r>
      <w:r w:rsidR="00D14A8D">
        <w:t>as a condition of being a supplier</w:t>
      </w:r>
      <w:bookmarkEnd w:id="189"/>
      <w:bookmarkEnd w:id="190"/>
      <w:bookmarkEnd w:id="191"/>
    </w:p>
    <w:p w14:paraId="07D08D55" w14:textId="237064B2" w:rsidR="001B5A5D" w:rsidRDefault="002633B0" w:rsidP="009939DA">
      <w:pPr>
        <w:pStyle w:val="Numbered"/>
      </w:pPr>
      <w:r>
        <w:t>Another</w:t>
      </w:r>
      <w:r w:rsidR="00D63161">
        <w:t xml:space="preserve"> area of potential payments </w:t>
      </w:r>
      <w:r w:rsidR="0017436C">
        <w:t xml:space="preserve">by suppliers </w:t>
      </w:r>
      <w:r w:rsidR="00D63161">
        <w:t xml:space="preserve">is in relation to </w:t>
      </w:r>
      <w:r w:rsidR="001C5162">
        <w:t xml:space="preserve">a </w:t>
      </w:r>
      <w:r w:rsidR="00D63161">
        <w:t>retailer’s business activities</w:t>
      </w:r>
      <w:r w:rsidR="0067010A">
        <w:t xml:space="preserve"> (also called merchandising work)</w:t>
      </w:r>
      <w:r w:rsidR="00E641AE">
        <w:t>,</w:t>
      </w:r>
      <w:r w:rsidR="00E641AE">
        <w:rPr>
          <w:rStyle w:val="FootnoteReference"/>
        </w:rPr>
        <w:footnoteReference w:id="34"/>
      </w:r>
      <w:r w:rsidR="001B5A5D">
        <w:t xml:space="preserve"> </w:t>
      </w:r>
      <w:r>
        <w:t xml:space="preserve">product placement, </w:t>
      </w:r>
      <w:r w:rsidR="001B5A5D">
        <w:t xml:space="preserve">and </w:t>
      </w:r>
      <w:r w:rsidR="00D63161">
        <w:t>as a condition of being a supplier.</w:t>
      </w:r>
      <w:r w:rsidR="00E641AE" w:rsidRPr="00E641AE">
        <w:t xml:space="preserve"> </w:t>
      </w:r>
      <w:r w:rsidR="00E641AE">
        <w:t>All these activities have potential benefits to both the retailer and supplier</w:t>
      </w:r>
      <w:r w:rsidR="00672241">
        <w:t xml:space="preserve"> by generating sales of products through </w:t>
      </w:r>
      <w:r w:rsidR="00476399">
        <w:t xml:space="preserve">supporting </w:t>
      </w:r>
      <w:r w:rsidR="00672241">
        <w:t xml:space="preserve">a competitive </w:t>
      </w:r>
      <w:r w:rsidR="00476399">
        <w:t xml:space="preserve">retail </w:t>
      </w:r>
      <w:r w:rsidR="00672241">
        <w:t>offering that caters to consumer preferences.</w:t>
      </w:r>
    </w:p>
    <w:p w14:paraId="76690C7F" w14:textId="3AF1A087" w:rsidR="00384383" w:rsidRDefault="00EB6537" w:rsidP="00E641AE">
      <w:pPr>
        <w:pStyle w:val="Numbered"/>
      </w:pPr>
      <w:r>
        <w:lastRenderedPageBreak/>
        <w:t xml:space="preserve">In </w:t>
      </w:r>
      <w:r w:rsidR="00182735">
        <w:t>New Zealand retail grocery</w:t>
      </w:r>
      <w:r>
        <w:t>, t</w:t>
      </w:r>
      <w:r w:rsidR="009578A1">
        <w:t>he</w:t>
      </w:r>
      <w:r>
        <w:t xml:space="preserve"> merchandising </w:t>
      </w:r>
      <w:r w:rsidR="004B436D">
        <w:t xml:space="preserve">work </w:t>
      </w:r>
      <w:r>
        <w:t xml:space="preserve">is </w:t>
      </w:r>
      <w:r w:rsidR="00384383">
        <w:t xml:space="preserve">shared </w:t>
      </w:r>
      <w:r>
        <w:t xml:space="preserve">between </w:t>
      </w:r>
      <w:r w:rsidR="004B436D">
        <w:t xml:space="preserve">the </w:t>
      </w:r>
      <w:r w:rsidR="009578A1">
        <w:t xml:space="preserve">supplier </w:t>
      </w:r>
      <w:r w:rsidR="00384383">
        <w:t xml:space="preserve">and </w:t>
      </w:r>
      <w:r w:rsidR="009578A1">
        <w:t>retaile</w:t>
      </w:r>
      <w:r w:rsidR="00384383">
        <w:t xml:space="preserve">r. It appears that some </w:t>
      </w:r>
      <w:r w:rsidR="009578A1">
        <w:t xml:space="preserve">suppliers </w:t>
      </w:r>
      <w:r w:rsidR="00E641AE">
        <w:t>do not</w:t>
      </w:r>
      <w:r w:rsidR="009578A1">
        <w:t xml:space="preserve"> want to be involved </w:t>
      </w:r>
      <w:r w:rsidR="00384383">
        <w:t xml:space="preserve">in merchandising, while </w:t>
      </w:r>
      <w:r w:rsidR="009578A1">
        <w:t xml:space="preserve">others prefer to have control over </w:t>
      </w:r>
      <w:r w:rsidR="00384383">
        <w:t xml:space="preserve">the </w:t>
      </w:r>
      <w:r w:rsidR="009578A1">
        <w:t>stocking and display</w:t>
      </w:r>
      <w:r w:rsidR="00384383">
        <w:t xml:space="preserve"> of their products</w:t>
      </w:r>
      <w:r w:rsidR="009578A1">
        <w:t>.</w:t>
      </w:r>
      <w:r w:rsidR="00182735" w:rsidRPr="00182735">
        <w:t xml:space="preserve"> </w:t>
      </w:r>
      <w:r w:rsidR="0092187F">
        <w:t>R</w:t>
      </w:r>
      <w:r w:rsidR="009578A1">
        <w:t xml:space="preserve">egardless of who does the merchandising, </w:t>
      </w:r>
      <w:r w:rsidR="00384383">
        <w:t xml:space="preserve">it appears that </w:t>
      </w:r>
      <w:r w:rsidR="009578A1">
        <w:t xml:space="preserve">most of the cost </w:t>
      </w:r>
      <w:r w:rsidR="00384383">
        <w:t xml:space="preserve">is met by </w:t>
      </w:r>
      <w:r w:rsidR="009578A1">
        <w:t>suppliers</w:t>
      </w:r>
      <w:r w:rsidR="00384383">
        <w:t>.</w:t>
      </w:r>
      <w:r w:rsidR="00672241">
        <w:t xml:space="preserve"> </w:t>
      </w:r>
    </w:p>
    <w:p w14:paraId="568E9D3B" w14:textId="2F9C3488" w:rsidR="000F32B1" w:rsidRDefault="0067010A" w:rsidP="000F32B1">
      <w:pPr>
        <w:pStyle w:val="Numbered"/>
      </w:pPr>
      <w:r>
        <w:t>P</w:t>
      </w:r>
      <w:r w:rsidR="000F32B1">
        <w:t>roduct placement or shelf space allocation</w:t>
      </w:r>
      <w:r w:rsidR="00672241">
        <w:t xml:space="preserve"> (</w:t>
      </w:r>
      <w:r w:rsidR="000F32B1">
        <w:t xml:space="preserve">excluding any promotional arrangements </w:t>
      </w:r>
      <w:r w:rsidR="00AE5945">
        <w:t xml:space="preserve">which </w:t>
      </w:r>
      <w:r w:rsidR="000F32B1">
        <w:t>are considered later</w:t>
      </w:r>
      <w:r w:rsidR="00E641AE">
        <w:t xml:space="preserve"> in </w:t>
      </w:r>
      <w:r w:rsidR="00E641AE" w:rsidRPr="00E641AE">
        <w:rPr>
          <w:b/>
          <w:bCs/>
        </w:rPr>
        <w:t>chapter 7.6</w:t>
      </w:r>
      <w:r w:rsidR="00AE5945">
        <w:t>)</w:t>
      </w:r>
      <w:r w:rsidR="00672241">
        <w:t xml:space="preserve"> relate </w:t>
      </w:r>
      <w:r w:rsidR="00672241" w:rsidRPr="005C0157">
        <w:t>to where a product is placed in a store</w:t>
      </w:r>
      <w:r w:rsidR="000F32B1" w:rsidRPr="005C0157">
        <w:t xml:space="preserve"> </w:t>
      </w:r>
      <w:r w:rsidR="005C0157" w:rsidRPr="005C0157">
        <w:t xml:space="preserve">generally, and </w:t>
      </w:r>
      <w:r w:rsidR="00476399">
        <w:t xml:space="preserve">the </w:t>
      </w:r>
      <w:r w:rsidR="000F32B1" w:rsidRPr="005C0157">
        <w:t>height</w:t>
      </w:r>
      <w:r w:rsidR="00476399">
        <w:t xml:space="preserve"> or position</w:t>
      </w:r>
      <w:r w:rsidR="000F32B1" w:rsidRPr="005C0157">
        <w:t xml:space="preserve"> on the shelves</w:t>
      </w:r>
      <w:r w:rsidR="00672241">
        <w:t xml:space="preserve">. </w:t>
      </w:r>
      <w:r w:rsidR="006609D5">
        <w:t xml:space="preserve">Where a product is placed impacts on sales due to consumer buying habits – some positions on the shelf are simply more likely to sell than others. </w:t>
      </w:r>
      <w:r w:rsidR="00672241">
        <w:t xml:space="preserve">Fundamentally, shelf space is limited and </w:t>
      </w:r>
      <w:r w:rsidR="00476399">
        <w:t xml:space="preserve">designated </w:t>
      </w:r>
      <w:r w:rsidR="00672241">
        <w:t xml:space="preserve">retailers must make decisions on where to place products. </w:t>
      </w:r>
    </w:p>
    <w:p w14:paraId="5A8F3BCA" w14:textId="617E2D64" w:rsidR="00B21EBE" w:rsidRDefault="00672241" w:rsidP="00B21EBE">
      <w:pPr>
        <w:pStyle w:val="Numbered"/>
      </w:pPr>
      <w:r>
        <w:t>Additionally, w</w:t>
      </w:r>
      <w:r w:rsidR="00B21EBE">
        <w:t>e have heard anecdotal</w:t>
      </w:r>
      <w:r w:rsidR="000D23A0">
        <w:t>ly</w:t>
      </w:r>
      <w:r w:rsidR="00B21EBE">
        <w:t xml:space="preserve"> of suppliers receiving </w:t>
      </w:r>
      <w:r>
        <w:t xml:space="preserve">relatively generic </w:t>
      </w:r>
      <w:r w:rsidR="00B21EBE">
        <w:t xml:space="preserve">requests for payments </w:t>
      </w:r>
      <w:r>
        <w:t xml:space="preserve">for a </w:t>
      </w:r>
      <w:r w:rsidR="00476399">
        <w:t xml:space="preserve">designated </w:t>
      </w:r>
      <w:r>
        <w:t xml:space="preserve">retailer’s business activities (without clarity about what activities are being paid for), </w:t>
      </w:r>
      <w:r w:rsidR="00DC7BA3">
        <w:t xml:space="preserve">and </w:t>
      </w:r>
      <w:r>
        <w:t xml:space="preserve">that sometimes </w:t>
      </w:r>
      <w:r w:rsidR="00B21EBE">
        <w:t xml:space="preserve">activities that are </w:t>
      </w:r>
      <w:r>
        <w:t xml:space="preserve">paid for by a supplier are not provided by the </w:t>
      </w:r>
      <w:r w:rsidR="00476399">
        <w:t xml:space="preserve">designated </w:t>
      </w:r>
      <w:r>
        <w:t>retailer without any refund back to the supplier.</w:t>
      </w:r>
      <w:r w:rsidR="00B21EBE">
        <w:t xml:space="preserve"> </w:t>
      </w:r>
    </w:p>
    <w:p w14:paraId="2973D438" w14:textId="5B75D062" w:rsidR="00562F53" w:rsidRDefault="003E2CC9" w:rsidP="000F32B1">
      <w:pPr>
        <w:pStyle w:val="Numbered"/>
      </w:pPr>
      <w:r>
        <w:t xml:space="preserve">The Australian and UK Codes </w:t>
      </w:r>
      <w:r w:rsidR="004D0244">
        <w:t>limit</w:t>
      </w:r>
      <w:r w:rsidR="000D23A0">
        <w:t xml:space="preserve"> </w:t>
      </w:r>
      <w:r w:rsidR="007B6DA4">
        <w:t xml:space="preserve">payments for </w:t>
      </w:r>
      <w:r w:rsidR="00502AC9">
        <w:t>business activities</w:t>
      </w:r>
      <w:r w:rsidR="007B6DA4">
        <w:t xml:space="preserve"> </w:t>
      </w:r>
      <w:r w:rsidR="00DF3113">
        <w:t>and</w:t>
      </w:r>
      <w:r w:rsidR="007B6DA4">
        <w:t xml:space="preserve"> product placement, and </w:t>
      </w:r>
      <w:r w:rsidR="00502AC9">
        <w:t>as a condition of being a supplier</w:t>
      </w:r>
      <w:r w:rsidR="00FE5338">
        <w:t xml:space="preserve"> (articles 6, 9, and 12 of the UK Code, and sections 15, 16, and 17 of the Australian Code)</w:t>
      </w:r>
      <w:r w:rsidR="00562F53">
        <w:t>. Both Codes:</w:t>
      </w:r>
    </w:p>
    <w:p w14:paraId="7A3196FB" w14:textId="323DED1B" w:rsidR="000F32B1" w:rsidRDefault="00562F53" w:rsidP="00562F53">
      <w:pPr>
        <w:pStyle w:val="Numbered"/>
        <w:numPr>
          <w:ilvl w:val="1"/>
          <w:numId w:val="1"/>
        </w:numPr>
      </w:pPr>
      <w:r>
        <w:t>P</w:t>
      </w:r>
      <w:r w:rsidR="00D71370">
        <w:t xml:space="preserve">rohibit payments for </w:t>
      </w:r>
      <w:r w:rsidR="0067010A">
        <w:t xml:space="preserve">the retailer’s </w:t>
      </w:r>
      <w:r w:rsidR="00D71370">
        <w:t xml:space="preserve">marketing costs, except where set out in </w:t>
      </w:r>
      <w:r w:rsidR="00DF3113">
        <w:t>the</w:t>
      </w:r>
      <w:r w:rsidR="0067010A">
        <w:t xml:space="preserve"> grocery</w:t>
      </w:r>
      <w:r w:rsidR="00D71370">
        <w:t xml:space="preserve"> supply agreement</w:t>
      </w:r>
      <w:r w:rsidR="00B75C81">
        <w:t xml:space="preserve">. </w:t>
      </w:r>
      <w:r>
        <w:t>The Australian Code also requires any payments to be reasonable in the circumstances</w:t>
      </w:r>
      <w:r w:rsidR="00FE5338">
        <w:t xml:space="preserve"> (factoring in the costs, risks and benefits to the supplier and retailer)</w:t>
      </w:r>
      <w:r>
        <w:t xml:space="preserve">. </w:t>
      </w:r>
    </w:p>
    <w:p w14:paraId="254D1A36" w14:textId="3CF50C7B" w:rsidR="00562F53" w:rsidRDefault="00562F53" w:rsidP="00562F53">
      <w:pPr>
        <w:pStyle w:val="Numbered"/>
        <w:numPr>
          <w:ilvl w:val="1"/>
          <w:numId w:val="1"/>
        </w:numPr>
      </w:pPr>
      <w:r>
        <w:t xml:space="preserve">Prohibit payments for better positioning of goods with exceptions. The UK </w:t>
      </w:r>
      <w:r w:rsidR="00DF3113">
        <w:t xml:space="preserve">Code </w:t>
      </w:r>
      <w:r>
        <w:t xml:space="preserve">exception is to allow promotions, while the Australian </w:t>
      </w:r>
      <w:r w:rsidR="00DF3113">
        <w:t xml:space="preserve">Code </w:t>
      </w:r>
      <w:r>
        <w:t xml:space="preserve">exception is broader and can be for any reason provided the payment is set out in the supply agreement and is reasonable in the circumstances (factoring in the costs, risks and benefits to the supplier and retailer). </w:t>
      </w:r>
    </w:p>
    <w:p w14:paraId="2734B472" w14:textId="40A03204" w:rsidR="00D71370" w:rsidRDefault="00562F53" w:rsidP="00562F53">
      <w:pPr>
        <w:pStyle w:val="Numbered"/>
        <w:numPr>
          <w:ilvl w:val="1"/>
          <w:numId w:val="1"/>
        </w:numPr>
      </w:pPr>
      <w:r>
        <w:t>Prohibit payments as a condition of being a supplier</w:t>
      </w:r>
      <w:r w:rsidR="00DF3113">
        <w:t>,</w:t>
      </w:r>
      <w:r>
        <w:t xml:space="preserve"> with exceptions. The UK </w:t>
      </w:r>
      <w:r w:rsidR="00DF3113">
        <w:t xml:space="preserve">Code </w:t>
      </w:r>
      <w:r>
        <w:t xml:space="preserve">exception is in relation to promotions or a new supplier. The Australian </w:t>
      </w:r>
      <w:r w:rsidR="00DF3113">
        <w:t>Code</w:t>
      </w:r>
      <w:r>
        <w:t xml:space="preserve"> </w:t>
      </w:r>
      <w:r w:rsidR="00B21EBE">
        <w:t xml:space="preserve">exception requires </w:t>
      </w:r>
      <w:r>
        <w:t xml:space="preserve">any payment </w:t>
      </w:r>
      <w:r w:rsidR="00B21EBE">
        <w:t xml:space="preserve">to </w:t>
      </w:r>
      <w:r>
        <w:t xml:space="preserve">be in the supply agreement and reasonable having regard to the costs or risks to the retailer of stocking the </w:t>
      </w:r>
      <w:r w:rsidR="00FE5338">
        <w:t>pro</w:t>
      </w:r>
      <w:r>
        <w:t xml:space="preserve">duct. </w:t>
      </w:r>
    </w:p>
    <w:p w14:paraId="67672E91" w14:textId="7748DEA0" w:rsidR="00FE5338" w:rsidRDefault="00FE5338" w:rsidP="00FE5338">
      <w:pPr>
        <w:pStyle w:val="Numbered"/>
      </w:pPr>
      <w:r>
        <w:t xml:space="preserve">The </w:t>
      </w:r>
      <w:r w:rsidR="006609D5">
        <w:t xml:space="preserve">three </w:t>
      </w:r>
      <w:r>
        <w:t>options we are considering are:</w:t>
      </w:r>
    </w:p>
    <w:tbl>
      <w:tblPr>
        <w:tblStyle w:val="TableGrid"/>
        <w:tblW w:w="9214"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3071"/>
        <w:gridCol w:w="3071"/>
        <w:gridCol w:w="3072"/>
      </w:tblGrid>
      <w:tr w:rsidR="00FE5338" w:rsidRPr="00D3390A" w14:paraId="12020D4E" w14:textId="77777777" w:rsidTr="00476399">
        <w:tc>
          <w:tcPr>
            <w:tcW w:w="3071" w:type="dxa"/>
            <w:shd w:val="clear" w:color="auto" w:fill="B3D0D5"/>
          </w:tcPr>
          <w:p w14:paraId="7C72670F" w14:textId="77777777" w:rsidR="00FE5338" w:rsidRPr="006609D5" w:rsidRDefault="00FE5338" w:rsidP="00C33B9C">
            <w:pPr>
              <w:pStyle w:val="Numbered"/>
              <w:numPr>
                <w:ilvl w:val="0"/>
                <w:numId w:val="0"/>
              </w:numPr>
              <w:spacing w:before="0"/>
              <w:rPr>
                <w:sz w:val="20"/>
                <w:szCs w:val="20"/>
              </w:rPr>
            </w:pPr>
            <w:r w:rsidRPr="006609D5">
              <w:rPr>
                <w:b/>
                <w:bCs/>
                <w:sz w:val="20"/>
                <w:szCs w:val="20"/>
              </w:rPr>
              <w:t xml:space="preserve">Option 1 (Principle-based Code): </w:t>
            </w:r>
          </w:p>
        </w:tc>
        <w:tc>
          <w:tcPr>
            <w:tcW w:w="3071" w:type="dxa"/>
            <w:shd w:val="clear" w:color="auto" w:fill="B3D0D5"/>
          </w:tcPr>
          <w:p w14:paraId="4BE8AA5A" w14:textId="289E6054" w:rsidR="00FE5338" w:rsidRPr="006609D5" w:rsidRDefault="00D3390A" w:rsidP="00C33B9C">
            <w:pPr>
              <w:pStyle w:val="Numbered"/>
              <w:numPr>
                <w:ilvl w:val="0"/>
                <w:numId w:val="0"/>
              </w:numPr>
              <w:spacing w:before="0"/>
              <w:rPr>
                <w:sz w:val="20"/>
                <w:szCs w:val="20"/>
              </w:rPr>
            </w:pPr>
            <w:r w:rsidRPr="00D3390A">
              <w:rPr>
                <w:b/>
                <w:bCs/>
                <w:sz w:val="20"/>
                <w:szCs w:val="20"/>
              </w:rPr>
              <w:t>Option 2 (Prescriptive Code):</w:t>
            </w:r>
          </w:p>
        </w:tc>
        <w:tc>
          <w:tcPr>
            <w:tcW w:w="3072" w:type="dxa"/>
            <w:shd w:val="clear" w:color="auto" w:fill="B3D0D5"/>
          </w:tcPr>
          <w:p w14:paraId="37DC1AEF" w14:textId="6246EAB6" w:rsidR="00FE5338" w:rsidRPr="006609D5" w:rsidRDefault="00FE5338" w:rsidP="00C33B9C">
            <w:pPr>
              <w:pStyle w:val="Numbered"/>
              <w:numPr>
                <w:ilvl w:val="0"/>
                <w:numId w:val="0"/>
              </w:numPr>
              <w:spacing w:before="0"/>
              <w:rPr>
                <w:sz w:val="20"/>
                <w:szCs w:val="20"/>
              </w:rPr>
            </w:pPr>
            <w:r w:rsidRPr="006609D5">
              <w:rPr>
                <w:b/>
                <w:bCs/>
                <w:sz w:val="20"/>
                <w:szCs w:val="20"/>
              </w:rPr>
              <w:t>Option 3 (</w:t>
            </w:r>
            <w:r w:rsidR="00D3390A" w:rsidRPr="00D3390A">
              <w:rPr>
                <w:b/>
                <w:bCs/>
                <w:sz w:val="20"/>
                <w:szCs w:val="20"/>
              </w:rPr>
              <w:t xml:space="preserve">Alternative </w:t>
            </w:r>
            <w:r w:rsidRPr="006609D5">
              <w:rPr>
                <w:b/>
                <w:bCs/>
                <w:sz w:val="20"/>
                <w:szCs w:val="20"/>
              </w:rPr>
              <w:t xml:space="preserve">Code): </w:t>
            </w:r>
          </w:p>
        </w:tc>
      </w:tr>
      <w:tr w:rsidR="00FE5338" w:rsidRPr="0095677E" w14:paraId="3D9B92CE" w14:textId="77777777" w:rsidTr="00476399">
        <w:tc>
          <w:tcPr>
            <w:tcW w:w="3071" w:type="dxa"/>
            <w:shd w:val="clear" w:color="auto" w:fill="B3D0D5"/>
          </w:tcPr>
          <w:p w14:paraId="73C531F0" w14:textId="50027EF4" w:rsidR="00FE5338" w:rsidRPr="00BD56BD" w:rsidRDefault="00FE5338" w:rsidP="00E25F3D">
            <w:pPr>
              <w:rPr>
                <w:b/>
                <w:bCs/>
                <w:sz w:val="20"/>
                <w:szCs w:val="20"/>
              </w:rPr>
            </w:pPr>
            <w:r>
              <w:rPr>
                <w:b/>
                <w:bCs/>
                <w:sz w:val="20"/>
                <w:szCs w:val="20"/>
              </w:rPr>
              <w:t xml:space="preserve">Marketing </w:t>
            </w:r>
            <w:r w:rsidR="004D0244">
              <w:rPr>
                <w:b/>
                <w:bCs/>
                <w:sz w:val="20"/>
                <w:szCs w:val="20"/>
              </w:rPr>
              <w:t xml:space="preserve">and merchandising </w:t>
            </w:r>
            <w:r>
              <w:rPr>
                <w:b/>
                <w:bCs/>
                <w:sz w:val="20"/>
                <w:szCs w:val="20"/>
              </w:rPr>
              <w:t>costs</w:t>
            </w:r>
          </w:p>
          <w:p w14:paraId="6F19C4C3" w14:textId="4D123EAC" w:rsidR="00FE5338" w:rsidRDefault="00FE5338" w:rsidP="005C0157">
            <w:pPr>
              <w:pStyle w:val="Numbered"/>
              <w:numPr>
                <w:ilvl w:val="0"/>
                <w:numId w:val="0"/>
              </w:numPr>
              <w:spacing w:before="0" w:after="120"/>
              <w:rPr>
                <w:sz w:val="20"/>
                <w:szCs w:val="20"/>
              </w:rPr>
            </w:pPr>
            <w:r>
              <w:rPr>
                <w:sz w:val="20"/>
                <w:szCs w:val="20"/>
              </w:rPr>
              <w:t xml:space="preserve">Prohibit payments except where </w:t>
            </w:r>
            <w:r w:rsidRPr="00D14A8D">
              <w:rPr>
                <w:sz w:val="20"/>
                <w:szCs w:val="20"/>
              </w:rPr>
              <w:t xml:space="preserve">provided for in the relevant </w:t>
            </w:r>
            <w:r w:rsidR="006609D5">
              <w:rPr>
                <w:sz w:val="20"/>
                <w:szCs w:val="20"/>
              </w:rPr>
              <w:t xml:space="preserve">grocery </w:t>
            </w:r>
            <w:r w:rsidRPr="00D14A8D">
              <w:rPr>
                <w:sz w:val="20"/>
                <w:szCs w:val="20"/>
              </w:rPr>
              <w:t>supply agreement</w:t>
            </w:r>
            <w:r>
              <w:rPr>
                <w:sz w:val="20"/>
                <w:szCs w:val="20"/>
              </w:rPr>
              <w:t>.</w:t>
            </w:r>
          </w:p>
          <w:p w14:paraId="3909A4EB" w14:textId="77777777" w:rsidR="00FE5338" w:rsidRPr="00BD56BD" w:rsidRDefault="00FE5338" w:rsidP="00E25F3D">
            <w:pPr>
              <w:rPr>
                <w:b/>
                <w:bCs/>
                <w:sz w:val="20"/>
                <w:szCs w:val="20"/>
              </w:rPr>
            </w:pPr>
            <w:r>
              <w:rPr>
                <w:b/>
                <w:bCs/>
                <w:sz w:val="20"/>
                <w:szCs w:val="20"/>
              </w:rPr>
              <w:t>Payments for product placement</w:t>
            </w:r>
          </w:p>
          <w:p w14:paraId="604C7F13" w14:textId="431B5725" w:rsidR="00FE5338" w:rsidRDefault="00FE5338" w:rsidP="005C0157">
            <w:pPr>
              <w:pStyle w:val="Numbered"/>
              <w:numPr>
                <w:ilvl w:val="0"/>
                <w:numId w:val="0"/>
              </w:numPr>
              <w:spacing w:before="0" w:after="120"/>
              <w:rPr>
                <w:sz w:val="20"/>
                <w:szCs w:val="20"/>
              </w:rPr>
            </w:pPr>
            <w:r>
              <w:rPr>
                <w:sz w:val="20"/>
                <w:szCs w:val="20"/>
              </w:rPr>
              <w:t xml:space="preserve">Prohibit except in relation to </w:t>
            </w:r>
            <w:r w:rsidRPr="000F32B1">
              <w:rPr>
                <w:sz w:val="20"/>
                <w:szCs w:val="20"/>
              </w:rPr>
              <w:t>a promotion.</w:t>
            </w:r>
          </w:p>
          <w:p w14:paraId="605CC934" w14:textId="1C361E88" w:rsidR="00FE5338" w:rsidRPr="0095677E" w:rsidRDefault="00FE5338" w:rsidP="005C0157">
            <w:pPr>
              <w:rPr>
                <w:b/>
                <w:bCs/>
                <w:sz w:val="20"/>
                <w:szCs w:val="20"/>
              </w:rPr>
            </w:pPr>
            <w:r>
              <w:rPr>
                <w:b/>
                <w:bCs/>
                <w:sz w:val="20"/>
                <w:szCs w:val="20"/>
              </w:rPr>
              <w:lastRenderedPageBreak/>
              <w:t>Payments as a condition of supply</w:t>
            </w:r>
            <w:r w:rsidR="005C0157">
              <w:rPr>
                <w:b/>
                <w:bCs/>
                <w:sz w:val="20"/>
                <w:szCs w:val="20"/>
              </w:rPr>
              <w:br/>
            </w:r>
            <w:r>
              <w:rPr>
                <w:sz w:val="20"/>
                <w:szCs w:val="20"/>
              </w:rPr>
              <w:t xml:space="preserve">Prohibit except in relation to a promotion or a new product and </w:t>
            </w:r>
            <w:r>
              <w:rPr>
                <w:rFonts w:eastAsiaTheme="minorHAnsi"/>
                <w:sz w:val="20"/>
                <w:szCs w:val="20"/>
                <w:lang w:eastAsia="en-US"/>
              </w:rPr>
              <w:t xml:space="preserve">the </w:t>
            </w:r>
            <w:r>
              <w:rPr>
                <w:sz w:val="20"/>
                <w:szCs w:val="20"/>
              </w:rPr>
              <w:t>r</w:t>
            </w:r>
            <w:r w:rsidRPr="00722037">
              <w:rPr>
                <w:rFonts w:eastAsiaTheme="minorHAnsi"/>
                <w:sz w:val="20"/>
                <w:szCs w:val="20"/>
                <w:lang w:eastAsia="en-US"/>
              </w:rPr>
              <w:t xml:space="preserve">etailer </w:t>
            </w:r>
            <w:r>
              <w:rPr>
                <w:rFonts w:eastAsiaTheme="minorHAnsi"/>
                <w:sz w:val="20"/>
                <w:szCs w:val="20"/>
                <w:lang w:eastAsia="en-US"/>
              </w:rPr>
              <w:t xml:space="preserve">runs a </w:t>
            </w:r>
            <w:r w:rsidRPr="00722037">
              <w:rPr>
                <w:rFonts w:eastAsiaTheme="minorHAnsi"/>
                <w:sz w:val="20"/>
                <w:szCs w:val="20"/>
                <w:lang w:eastAsia="en-US"/>
              </w:rPr>
              <w:t>risk</w:t>
            </w:r>
            <w:r>
              <w:rPr>
                <w:rFonts w:eastAsiaTheme="minorHAnsi"/>
                <w:sz w:val="20"/>
                <w:szCs w:val="20"/>
                <w:lang w:eastAsia="en-US"/>
              </w:rPr>
              <w:t xml:space="preserve"> stocking the product</w:t>
            </w:r>
            <w:r w:rsidRPr="00722037">
              <w:rPr>
                <w:rFonts w:eastAsiaTheme="minorHAnsi"/>
                <w:sz w:val="20"/>
                <w:szCs w:val="20"/>
                <w:lang w:eastAsia="en-US"/>
              </w:rPr>
              <w:t>.</w:t>
            </w:r>
          </w:p>
        </w:tc>
        <w:tc>
          <w:tcPr>
            <w:tcW w:w="3071" w:type="dxa"/>
            <w:shd w:val="clear" w:color="auto" w:fill="B3D0D5"/>
          </w:tcPr>
          <w:p w14:paraId="629FC454" w14:textId="362692DA" w:rsidR="00FE5338" w:rsidRPr="00BD56BD" w:rsidRDefault="009651BD" w:rsidP="00E25F3D">
            <w:pPr>
              <w:rPr>
                <w:b/>
                <w:bCs/>
                <w:sz w:val="20"/>
                <w:szCs w:val="20"/>
              </w:rPr>
            </w:pPr>
            <w:r>
              <w:rPr>
                <w:b/>
                <w:bCs/>
                <w:sz w:val="20"/>
                <w:szCs w:val="20"/>
              </w:rPr>
              <w:lastRenderedPageBreak/>
              <w:t>Marketing and merchandising costs (</w:t>
            </w:r>
            <w:r w:rsidR="002B13AE">
              <w:rPr>
                <w:b/>
                <w:bCs/>
                <w:sz w:val="20"/>
                <w:szCs w:val="20"/>
              </w:rPr>
              <w:t>designated r</w:t>
            </w:r>
            <w:r w:rsidR="00FE5338">
              <w:rPr>
                <w:b/>
                <w:bCs/>
                <w:sz w:val="20"/>
                <w:szCs w:val="20"/>
              </w:rPr>
              <w:t>etailer’s business activities</w:t>
            </w:r>
            <w:r>
              <w:rPr>
                <w:b/>
                <w:bCs/>
                <w:sz w:val="20"/>
                <w:szCs w:val="20"/>
              </w:rPr>
              <w:t>)</w:t>
            </w:r>
            <w:r w:rsidR="00FE5338">
              <w:rPr>
                <w:b/>
                <w:bCs/>
                <w:sz w:val="20"/>
                <w:szCs w:val="20"/>
              </w:rPr>
              <w:t xml:space="preserve"> and product placement costs </w:t>
            </w:r>
          </w:p>
          <w:p w14:paraId="3BD9DC3C" w14:textId="169E113C" w:rsidR="00FE5338" w:rsidRPr="00FE5338" w:rsidRDefault="00FE5338" w:rsidP="005C0157">
            <w:pPr>
              <w:pStyle w:val="Numbered"/>
              <w:numPr>
                <w:ilvl w:val="0"/>
                <w:numId w:val="0"/>
              </w:numPr>
              <w:spacing w:before="0" w:after="120"/>
              <w:rPr>
                <w:sz w:val="20"/>
                <w:szCs w:val="20"/>
              </w:rPr>
            </w:pPr>
            <w:r>
              <w:rPr>
                <w:sz w:val="20"/>
                <w:szCs w:val="20"/>
              </w:rPr>
              <w:t>Prohibit except where provided in the relevant</w:t>
            </w:r>
            <w:r w:rsidR="006609D5">
              <w:rPr>
                <w:sz w:val="20"/>
                <w:szCs w:val="20"/>
              </w:rPr>
              <w:t xml:space="preserve"> grocery</w:t>
            </w:r>
            <w:r>
              <w:rPr>
                <w:sz w:val="20"/>
                <w:szCs w:val="20"/>
              </w:rPr>
              <w:t xml:space="preserve"> supply agreement and</w:t>
            </w:r>
            <w:r w:rsidRPr="00FE5338">
              <w:rPr>
                <w:sz w:val="20"/>
                <w:szCs w:val="20"/>
              </w:rPr>
              <w:t xml:space="preserve"> reasonable in the circumstances</w:t>
            </w:r>
            <w:r>
              <w:rPr>
                <w:sz w:val="20"/>
                <w:szCs w:val="20"/>
              </w:rPr>
              <w:t xml:space="preserve"> (</w:t>
            </w:r>
            <w:r w:rsidRPr="00FE5338">
              <w:rPr>
                <w:sz w:val="20"/>
                <w:szCs w:val="20"/>
              </w:rPr>
              <w:t xml:space="preserve">having regard to </w:t>
            </w:r>
            <w:r w:rsidRPr="00FE5338">
              <w:rPr>
                <w:sz w:val="20"/>
                <w:szCs w:val="20"/>
              </w:rPr>
              <w:lastRenderedPageBreak/>
              <w:t>the likely benefits, costs, and risks to the retailer and supplier</w:t>
            </w:r>
            <w:r>
              <w:rPr>
                <w:sz w:val="20"/>
                <w:szCs w:val="20"/>
              </w:rPr>
              <w:t>)</w:t>
            </w:r>
            <w:r w:rsidRPr="00FE5338">
              <w:rPr>
                <w:sz w:val="20"/>
                <w:szCs w:val="20"/>
              </w:rPr>
              <w:t>.</w:t>
            </w:r>
          </w:p>
          <w:p w14:paraId="29BA32EA" w14:textId="77777777" w:rsidR="00FE5338" w:rsidRDefault="00FE5338" w:rsidP="00C978B9">
            <w:pPr>
              <w:keepNext/>
              <w:rPr>
                <w:sz w:val="20"/>
                <w:szCs w:val="20"/>
              </w:rPr>
            </w:pPr>
            <w:r w:rsidRPr="007356F9">
              <w:rPr>
                <w:b/>
                <w:bCs/>
                <w:sz w:val="20"/>
                <w:szCs w:val="20"/>
              </w:rPr>
              <w:t>Payments</w:t>
            </w:r>
            <w:r>
              <w:rPr>
                <w:b/>
                <w:bCs/>
                <w:sz w:val="20"/>
                <w:szCs w:val="20"/>
              </w:rPr>
              <w:t xml:space="preserve"> as a condition of supply </w:t>
            </w:r>
          </w:p>
          <w:p w14:paraId="1DA69A73" w14:textId="749BFA25" w:rsidR="00FE5338" w:rsidRDefault="00FE5338" w:rsidP="00C978B9">
            <w:pPr>
              <w:keepNext/>
              <w:rPr>
                <w:sz w:val="20"/>
                <w:szCs w:val="20"/>
              </w:rPr>
            </w:pPr>
            <w:r>
              <w:rPr>
                <w:sz w:val="20"/>
                <w:szCs w:val="20"/>
              </w:rPr>
              <w:t>Prohibit except</w:t>
            </w:r>
            <w:r w:rsidR="00B21EBE">
              <w:rPr>
                <w:sz w:val="20"/>
                <w:szCs w:val="20"/>
              </w:rPr>
              <w:t xml:space="preserve"> </w:t>
            </w:r>
            <w:r w:rsidRPr="0092187F">
              <w:rPr>
                <w:sz w:val="20"/>
                <w:szCs w:val="20"/>
              </w:rPr>
              <w:t>in relation to a promotion or</w:t>
            </w:r>
            <w:r w:rsidR="00B21EBE">
              <w:t xml:space="preserve"> </w:t>
            </w:r>
            <w:r w:rsidR="00B21EBE" w:rsidRPr="00B21EBE">
              <w:rPr>
                <w:sz w:val="20"/>
                <w:szCs w:val="20"/>
              </w:rPr>
              <w:t>a new product</w:t>
            </w:r>
            <w:r w:rsidR="005C0157">
              <w:rPr>
                <w:sz w:val="20"/>
                <w:szCs w:val="20"/>
              </w:rPr>
              <w:t>.</w:t>
            </w:r>
            <w:r w:rsidR="004D0244">
              <w:rPr>
                <w:rStyle w:val="FootnoteReference"/>
                <w:sz w:val="20"/>
                <w:szCs w:val="20"/>
              </w:rPr>
              <w:footnoteReference w:id="35"/>
            </w:r>
            <w:r w:rsidR="00B21EBE">
              <w:rPr>
                <w:sz w:val="20"/>
                <w:szCs w:val="20"/>
              </w:rPr>
              <w:t xml:space="preserve"> </w:t>
            </w:r>
          </w:p>
          <w:p w14:paraId="1B7FF543" w14:textId="2C697127" w:rsidR="00FE5338" w:rsidRPr="007356F9" w:rsidRDefault="00B21EBE" w:rsidP="00B21EBE">
            <w:pPr>
              <w:rPr>
                <w:sz w:val="20"/>
                <w:szCs w:val="20"/>
              </w:rPr>
            </w:pPr>
            <w:r>
              <w:rPr>
                <w:sz w:val="20"/>
                <w:szCs w:val="20"/>
              </w:rPr>
              <w:t xml:space="preserve">Must be </w:t>
            </w:r>
            <w:r w:rsidR="00FE5338">
              <w:rPr>
                <w:sz w:val="20"/>
                <w:szCs w:val="20"/>
              </w:rPr>
              <w:t xml:space="preserve">reasonable in the circumstances </w:t>
            </w:r>
            <w:r>
              <w:rPr>
                <w:sz w:val="20"/>
                <w:szCs w:val="20"/>
              </w:rPr>
              <w:t>(</w:t>
            </w:r>
            <w:r w:rsidR="00FE5338" w:rsidRPr="00BD56BD">
              <w:rPr>
                <w:sz w:val="20"/>
                <w:szCs w:val="20"/>
              </w:rPr>
              <w:t xml:space="preserve">having regard to </w:t>
            </w:r>
            <w:r w:rsidR="00FE5338">
              <w:rPr>
                <w:sz w:val="20"/>
                <w:szCs w:val="20"/>
              </w:rPr>
              <w:t>the likely benefits, costs, and risks to the retailer and supplier</w:t>
            </w:r>
            <w:r>
              <w:rPr>
                <w:sz w:val="20"/>
                <w:szCs w:val="20"/>
              </w:rPr>
              <w:t>).</w:t>
            </w:r>
          </w:p>
        </w:tc>
        <w:tc>
          <w:tcPr>
            <w:tcW w:w="3072" w:type="dxa"/>
            <w:shd w:val="clear" w:color="auto" w:fill="B3D0D5"/>
          </w:tcPr>
          <w:p w14:paraId="1AAB741D" w14:textId="77777777" w:rsidR="005C0157" w:rsidRDefault="00FE5338" w:rsidP="00E25F3D">
            <w:pPr>
              <w:pStyle w:val="Numbered"/>
              <w:numPr>
                <w:ilvl w:val="0"/>
                <w:numId w:val="0"/>
              </w:numPr>
              <w:spacing w:before="0"/>
              <w:rPr>
                <w:b/>
                <w:bCs/>
                <w:sz w:val="20"/>
                <w:szCs w:val="20"/>
              </w:rPr>
            </w:pPr>
            <w:r w:rsidRPr="00B21EBE">
              <w:rPr>
                <w:b/>
                <w:bCs/>
                <w:sz w:val="20"/>
                <w:szCs w:val="20"/>
              </w:rPr>
              <w:lastRenderedPageBreak/>
              <w:t xml:space="preserve">Option 2 </w:t>
            </w:r>
            <w:r w:rsidR="00DF3113">
              <w:rPr>
                <w:b/>
                <w:bCs/>
                <w:sz w:val="20"/>
                <w:szCs w:val="20"/>
              </w:rPr>
              <w:t>plus</w:t>
            </w:r>
            <w:r w:rsidRPr="00B21EBE">
              <w:rPr>
                <w:b/>
                <w:bCs/>
                <w:sz w:val="20"/>
                <w:szCs w:val="20"/>
              </w:rPr>
              <w:t xml:space="preserve"> </w:t>
            </w:r>
          </w:p>
          <w:p w14:paraId="6CD21002" w14:textId="51E81365" w:rsidR="00FE5338" w:rsidRDefault="005C0157" w:rsidP="005C0157">
            <w:pPr>
              <w:pStyle w:val="Numbered"/>
              <w:numPr>
                <w:ilvl w:val="0"/>
                <w:numId w:val="0"/>
              </w:numPr>
              <w:spacing w:before="0" w:after="120"/>
              <w:rPr>
                <w:sz w:val="20"/>
                <w:szCs w:val="20"/>
              </w:rPr>
            </w:pPr>
            <w:r>
              <w:rPr>
                <w:sz w:val="20"/>
                <w:szCs w:val="20"/>
              </w:rPr>
              <w:t>P</w:t>
            </w:r>
            <w:r w:rsidR="00FE5338">
              <w:rPr>
                <w:sz w:val="20"/>
                <w:szCs w:val="20"/>
              </w:rPr>
              <w:t>rohibit payments that are not linked to specific activities.</w:t>
            </w:r>
          </w:p>
          <w:p w14:paraId="4156E4FD" w14:textId="35FD0D51" w:rsidR="00FE5338" w:rsidRPr="0095677E" w:rsidRDefault="00B21EBE" w:rsidP="005C0157">
            <w:pPr>
              <w:pStyle w:val="Numbered"/>
              <w:numPr>
                <w:ilvl w:val="0"/>
                <w:numId w:val="0"/>
              </w:numPr>
              <w:spacing w:before="0" w:after="120"/>
              <w:rPr>
                <w:b/>
                <w:bCs/>
                <w:sz w:val="20"/>
                <w:szCs w:val="20"/>
              </w:rPr>
            </w:pPr>
            <w:r>
              <w:rPr>
                <w:sz w:val="20"/>
                <w:szCs w:val="20"/>
              </w:rPr>
              <w:t>Require</w:t>
            </w:r>
            <w:r w:rsidR="00FE5338">
              <w:rPr>
                <w:sz w:val="20"/>
                <w:szCs w:val="20"/>
              </w:rPr>
              <w:t xml:space="preserve"> refunds by retailers where they have not completed the relevant activity</w:t>
            </w:r>
            <w:r>
              <w:rPr>
                <w:sz w:val="20"/>
                <w:szCs w:val="20"/>
              </w:rPr>
              <w:t xml:space="preserve"> that payment was provided for</w:t>
            </w:r>
            <w:r w:rsidR="00FE5338">
              <w:rPr>
                <w:sz w:val="20"/>
                <w:szCs w:val="20"/>
              </w:rPr>
              <w:t xml:space="preserve">. </w:t>
            </w:r>
          </w:p>
        </w:tc>
      </w:tr>
    </w:tbl>
    <w:p w14:paraId="281D614E" w14:textId="77777777" w:rsidR="002B13AE" w:rsidRDefault="008D2108" w:rsidP="00A647C8">
      <w:pPr>
        <w:pStyle w:val="Numbered"/>
      </w:pPr>
      <w:r w:rsidRPr="008D2108">
        <w:rPr>
          <w:b/>
          <w:bCs/>
        </w:rPr>
        <w:t xml:space="preserve">Options 1 and 2 </w:t>
      </w:r>
      <w:r>
        <w:t>are relatively similar</w:t>
      </w:r>
      <w:r w:rsidR="00A647C8">
        <w:t xml:space="preserve"> in terms of effectiveness because they seek to ensure any payments (for marketing costs, business activities, and product placement) reflect the relative costs and benefits to designated retailers and suppliers</w:t>
      </w:r>
      <w:r>
        <w:t xml:space="preserve">. </w:t>
      </w:r>
    </w:p>
    <w:p w14:paraId="3528C827" w14:textId="059CA5E4" w:rsidR="008D2108" w:rsidRDefault="008D2108" w:rsidP="00A647C8">
      <w:pPr>
        <w:pStyle w:val="Numbered"/>
      </w:pPr>
      <w:r>
        <w:t xml:space="preserve">However, </w:t>
      </w:r>
      <w:r w:rsidRPr="00A647C8">
        <w:rPr>
          <w:b/>
          <w:bCs/>
        </w:rPr>
        <w:t xml:space="preserve">Option 2 </w:t>
      </w:r>
      <w:r w:rsidR="00A647C8">
        <w:t xml:space="preserve">is expected </w:t>
      </w:r>
      <w:r w:rsidR="003C1182">
        <w:t xml:space="preserve">to be </w:t>
      </w:r>
      <w:r w:rsidR="00A647C8">
        <w:t xml:space="preserve">slightly more effective and more durable because it has additional ability </w:t>
      </w:r>
      <w:r>
        <w:t xml:space="preserve">for a supplier and </w:t>
      </w:r>
      <w:r w:rsidR="00A647C8">
        <w:t xml:space="preserve">designated </w:t>
      </w:r>
      <w:r>
        <w:t>retailer to negotiate payments outside of a promotion</w:t>
      </w:r>
      <w:r w:rsidR="007E6F2E">
        <w:t xml:space="preserve">, </w:t>
      </w:r>
      <w:r w:rsidR="00A647C8">
        <w:t xml:space="preserve">provided any </w:t>
      </w:r>
      <w:r w:rsidR="007E6F2E">
        <w:t xml:space="preserve">payments </w:t>
      </w:r>
      <w:r w:rsidR="00A647C8">
        <w:t xml:space="preserve">are </w:t>
      </w:r>
      <w:r w:rsidR="007E6F2E">
        <w:t>reasonable in the circumstances</w:t>
      </w:r>
      <w:r>
        <w:t xml:space="preserve">. </w:t>
      </w:r>
      <w:r w:rsidR="002B13AE">
        <w:t xml:space="preserve">It is also expected to be less efficient (or more onerous to implement) and may risk either creating additional compliance costs for designated retailers or re-allocating costs from suppliers to designated retailers – this does have some possible risk of passing costs onto consumers. </w:t>
      </w:r>
    </w:p>
    <w:p w14:paraId="47EEF7D3" w14:textId="250FADB0" w:rsidR="005F39FD" w:rsidRDefault="00A647C8" w:rsidP="003805A6">
      <w:pPr>
        <w:pStyle w:val="Numbered"/>
      </w:pPr>
      <w:r w:rsidRPr="00537E81">
        <w:t>Overall,</w:t>
      </w:r>
      <w:r>
        <w:rPr>
          <w:b/>
          <w:bCs/>
        </w:rPr>
        <w:t xml:space="preserve"> </w:t>
      </w:r>
      <w:r w:rsidR="0012771D">
        <w:rPr>
          <w:b/>
          <w:bCs/>
        </w:rPr>
        <w:t xml:space="preserve">Option 3 </w:t>
      </w:r>
      <w:r w:rsidR="00537E81" w:rsidRPr="00537E81">
        <w:t>is likely to be most effective (and equally durable as</w:t>
      </w:r>
      <w:r w:rsidR="00537E81">
        <w:rPr>
          <w:b/>
          <w:bCs/>
        </w:rPr>
        <w:t xml:space="preserve"> option 2</w:t>
      </w:r>
      <w:r w:rsidR="00537E81" w:rsidRPr="00537E81">
        <w:t xml:space="preserve">) </w:t>
      </w:r>
      <w:r w:rsidR="00537E81">
        <w:t xml:space="preserve">because it </w:t>
      </w:r>
      <w:r w:rsidR="0012771D">
        <w:t>prohibit</w:t>
      </w:r>
      <w:r w:rsidR="00537E81">
        <w:t>s</w:t>
      </w:r>
      <w:r w:rsidR="0012771D">
        <w:t xml:space="preserve"> </w:t>
      </w:r>
      <w:r w:rsidR="00B75C81">
        <w:t>payments that are not directly linked to services and to require</w:t>
      </w:r>
      <w:r w:rsidR="00537E81">
        <w:t>s</w:t>
      </w:r>
      <w:r w:rsidR="00B75C81">
        <w:t xml:space="preserve"> refunds (or even compensation) where the relevant services are paid for but not provided.</w:t>
      </w:r>
    </w:p>
    <w:p w14:paraId="21A04727" w14:textId="77777777" w:rsidR="002B13AE" w:rsidRDefault="002B13AE" w:rsidP="002B13AE">
      <w:pPr>
        <w:pStyle w:val="Numbered"/>
      </w:pPr>
      <w:bookmarkStart w:id="192" w:name="_Toc104358676"/>
      <w:bookmarkStart w:id="193" w:name="_Toc103173716"/>
      <w:r>
        <w:t xml:space="preserve">All three options allow payments as a condition of being a supplier when designated retailers are stocking new products (or in relation to promotions) and the designated retailer may face some risks. This could seem harsh to new suppliers, but may be necessary for retailers to take the risk of allocating scarce product space to new products. </w:t>
      </w:r>
    </w:p>
    <w:p w14:paraId="47811E8A" w14:textId="25602D3D" w:rsidR="007050AD" w:rsidRDefault="007050AD" w:rsidP="00990505">
      <w:pPr>
        <w:pStyle w:val="Heading2"/>
        <w:tabs>
          <w:tab w:val="left" w:pos="567"/>
        </w:tabs>
      </w:pPr>
      <w:bookmarkStart w:id="194" w:name="_Toc107919655"/>
      <w:r>
        <w:t>7.6</w:t>
      </w:r>
      <w:r w:rsidR="00AD74B8">
        <w:tab/>
      </w:r>
      <w:r>
        <w:t>Payments for p</w:t>
      </w:r>
      <w:r w:rsidRPr="000662E2">
        <w:t>romotion</w:t>
      </w:r>
      <w:r>
        <w:t>s and</w:t>
      </w:r>
      <w:r w:rsidRPr="000662E2">
        <w:t xml:space="preserve"> </w:t>
      </w:r>
      <w:r>
        <w:t>promotional</w:t>
      </w:r>
      <w:r w:rsidRPr="000662E2">
        <w:t xml:space="preserve"> buying</w:t>
      </w:r>
      <w:bookmarkEnd w:id="194"/>
      <w:r w:rsidRPr="000662E2">
        <w:t xml:space="preserve"> </w:t>
      </w:r>
    </w:p>
    <w:p w14:paraId="3F7D735E" w14:textId="6594C3C3" w:rsidR="007050AD" w:rsidRDefault="007050AD" w:rsidP="007050AD">
      <w:pPr>
        <w:pStyle w:val="Numbered"/>
      </w:pPr>
      <w:r>
        <w:t>New Zealand consumers appear to be particularly likely to purchase products that are on promotions. This makes promotions a key part of a retailer’s offering and vital for suppliers to sell their products. However, the muted competition in the retail grocer</w:t>
      </w:r>
      <w:r w:rsidR="002B13AE">
        <w:t>y</w:t>
      </w:r>
      <w:r>
        <w:t xml:space="preserve"> market means that much of the push for promotions (and promotional prices) comes from suppliers who are competing against each other for market share.</w:t>
      </w:r>
      <w:r w:rsidRPr="00457F8F">
        <w:rPr>
          <w:rStyle w:val="FootnoteReference"/>
        </w:rPr>
        <w:t xml:space="preserve"> </w:t>
      </w:r>
      <w:r>
        <w:rPr>
          <w:rStyle w:val="FootnoteReference"/>
        </w:rPr>
        <w:footnoteReference w:id="36"/>
      </w:r>
    </w:p>
    <w:p w14:paraId="4ABFB1D1" w14:textId="646D3C2D" w:rsidR="007050AD" w:rsidRPr="004C5F4E" w:rsidRDefault="007050AD" w:rsidP="007050AD">
      <w:pPr>
        <w:pStyle w:val="Numbered"/>
      </w:pPr>
      <w:r>
        <w:t xml:space="preserve">The issue with this approach to promotions is that while both </w:t>
      </w:r>
      <w:r w:rsidR="002B13AE">
        <w:t xml:space="preserve">designated </w:t>
      </w:r>
      <w:r>
        <w:t>retailers and suppliers benefit (in terms of sales volumes) the promotional costs are disproportionally met by the supplier. Any limitations on supplier funding of promotions must be carefully framed to manage any impact</w:t>
      </w:r>
      <w:r w:rsidR="002B13AE">
        <w:t xml:space="preserve"> consumers if it reduces the </w:t>
      </w:r>
      <w:r>
        <w:t xml:space="preserve">frequency </w:t>
      </w:r>
      <w:r w:rsidR="002B13AE">
        <w:t>of</w:t>
      </w:r>
      <w:r w:rsidR="002B13AE" w:rsidRPr="002B13AE">
        <w:t xml:space="preserve"> </w:t>
      </w:r>
      <w:r w:rsidR="002B13AE">
        <w:t xml:space="preserve">promotions, or the </w:t>
      </w:r>
      <w:r>
        <w:t xml:space="preserve">price </w:t>
      </w:r>
      <w:r>
        <w:lastRenderedPageBreak/>
        <w:t>reductions offered by</w:t>
      </w:r>
      <w:r w:rsidR="002B13AE">
        <w:t xml:space="preserve"> promotions</w:t>
      </w:r>
      <w:r>
        <w:t>. Prohibiting such payments entirely would likely result in suppliers being paid a lower list price for their products.</w:t>
      </w:r>
    </w:p>
    <w:p w14:paraId="37158282" w14:textId="77777777" w:rsidR="007050AD" w:rsidRDefault="007050AD" w:rsidP="007050AD">
      <w:pPr>
        <w:pStyle w:val="Numbered"/>
      </w:pPr>
      <w:r>
        <w:t>We are aware of at least two models of promotional buying in the grocery sector:</w:t>
      </w:r>
    </w:p>
    <w:p w14:paraId="4F3C7810" w14:textId="1D4551F0" w:rsidR="007050AD" w:rsidRDefault="007050AD" w:rsidP="007050AD">
      <w:pPr>
        <w:pStyle w:val="Numbered"/>
        <w:numPr>
          <w:ilvl w:val="1"/>
          <w:numId w:val="1"/>
        </w:numPr>
      </w:pPr>
      <w:r>
        <w:t>a relatively long-term partnership approach where a</w:t>
      </w:r>
      <w:r w:rsidR="002B13AE">
        <w:t xml:space="preserve"> designated</w:t>
      </w:r>
      <w:r>
        <w:t xml:space="preserve"> retailer and supplier agree to a number of promotions and promotional discounts over a period of time (this may involve a buy-in period where the retailer purchases stock at a reduced price before the retailer drops its price during the promotion). </w:t>
      </w:r>
    </w:p>
    <w:p w14:paraId="5DD6D88D" w14:textId="07653231" w:rsidR="007050AD" w:rsidRDefault="007050AD" w:rsidP="007050AD">
      <w:pPr>
        <w:pStyle w:val="Numbered"/>
        <w:numPr>
          <w:ilvl w:val="1"/>
          <w:numId w:val="1"/>
        </w:numPr>
      </w:pPr>
      <w:r>
        <w:t xml:space="preserve">a case-by-case approach to promotions as a one-off event where a </w:t>
      </w:r>
      <w:r w:rsidR="002B13AE">
        <w:t xml:space="preserve">designated </w:t>
      </w:r>
      <w:r>
        <w:t xml:space="preserve">retailer and supplier agree to the terms and funding for each promotion (this may involve promotions running on scanned volumes where the supplier compensates the retailer for the cost of the promotion based on actual sales volumes). </w:t>
      </w:r>
    </w:p>
    <w:p w14:paraId="163E71CA" w14:textId="2E76BE7B" w:rsidR="007050AD" w:rsidRDefault="007050AD" w:rsidP="007050AD">
      <w:pPr>
        <w:pStyle w:val="Numbered"/>
      </w:pPr>
      <w:r>
        <w:t xml:space="preserve">Investment buying (where </w:t>
      </w:r>
      <w:r w:rsidR="002B13AE">
        <w:t xml:space="preserve">designated </w:t>
      </w:r>
      <w:r>
        <w:t xml:space="preserve">retailers stockpile products purchased from a supplier at a reduced price during a buy-in period to a promotion) </w:t>
      </w:r>
      <w:r w:rsidR="002B13AE">
        <w:t xml:space="preserve">and other forms of promotional discount aimed at providing consistently low retail prices are intended to </w:t>
      </w:r>
      <w:r>
        <w:t>enable retailers offer lower prices outside of promotions – apparently with the consent of suppliers. Investment buying can cause production issues for suppliers, and may contribute to a lack of transparency over prices. However, stopping this practice may result in higher prices for consumers.</w:t>
      </w:r>
    </w:p>
    <w:p w14:paraId="74A020AE" w14:textId="77777777" w:rsidR="007050AD" w:rsidRPr="001457F7" w:rsidRDefault="007050AD" w:rsidP="007050AD">
      <w:pPr>
        <w:pStyle w:val="Numbered"/>
      </w:pPr>
      <w:r w:rsidRPr="001457F7">
        <w:t xml:space="preserve">The Commission recommended that payments for promotions should only be permitted where they are reasonable in the circumstances, having regard to the benefits and costs to suppliers and retailers. </w:t>
      </w:r>
      <w:r>
        <w:t>The Commission did not suggest any limits around any form of promotional buying (including investment buying and forward buying).</w:t>
      </w:r>
    </w:p>
    <w:p w14:paraId="3E12AC4C" w14:textId="77777777" w:rsidR="007050AD" w:rsidRPr="005B111D" w:rsidRDefault="007050AD" w:rsidP="007050AD">
      <w:pPr>
        <w:pStyle w:val="Numbered"/>
      </w:pPr>
      <w:r w:rsidRPr="005B111D">
        <w:t>The UK and Australian Codes have similar provisions relating to payments for promotions and promotional buying (refer to articles 13 and 14 of the UK Code, and to sections 18 and 20 of the Australian Code):</w:t>
      </w:r>
    </w:p>
    <w:p w14:paraId="6D68A777" w14:textId="77777777" w:rsidR="007050AD" w:rsidRPr="005B111D" w:rsidRDefault="007050AD" w:rsidP="007050AD">
      <w:pPr>
        <w:pStyle w:val="Numbered"/>
        <w:numPr>
          <w:ilvl w:val="1"/>
          <w:numId w:val="1"/>
        </w:numPr>
      </w:pPr>
      <w:r w:rsidRPr="005B111D">
        <w:t>Both prohib</w:t>
      </w:r>
      <w:r>
        <w:t>it</w:t>
      </w:r>
      <w:r w:rsidRPr="005B111D">
        <w:t xml:space="preserve"> the retailer requiring a supplier to fully fund the costs of a promotion, with exceptions. The UK Code exception is that reasonable notice must be provided in writing. The Australian </w:t>
      </w:r>
      <w:r>
        <w:t>Code</w:t>
      </w:r>
      <w:r w:rsidRPr="005B111D">
        <w:t xml:space="preserve"> exception is that the promotion must be in the supply agreement and must be reasonable in the circumstances.</w:t>
      </w:r>
    </w:p>
    <w:p w14:paraId="62ED617C" w14:textId="77777777" w:rsidR="007050AD" w:rsidRPr="005B111D" w:rsidRDefault="007050AD" w:rsidP="007050AD">
      <w:pPr>
        <w:pStyle w:val="Numbered"/>
        <w:numPr>
          <w:ilvl w:val="1"/>
          <w:numId w:val="1"/>
        </w:numPr>
      </w:pPr>
      <w:r w:rsidRPr="005B111D">
        <w:t>In relation to promotional buying</w:t>
      </w:r>
      <w:r>
        <w:t>,</w:t>
      </w:r>
      <w:r w:rsidRPr="005B111D">
        <w:t xml:space="preserve"> retailers </w:t>
      </w:r>
      <w:r>
        <w:t xml:space="preserve">must </w:t>
      </w:r>
      <w:r w:rsidRPr="005B111D">
        <w:t>take due care when ordering groceries and compensate a supplier for over-ordered products sold at the full retail price. The Australian Code also prohibits a retailer from reducing an order by more than 10</w:t>
      </w:r>
      <w:r>
        <w:t>%</w:t>
      </w:r>
      <w:r w:rsidRPr="005B111D">
        <w:t xml:space="preserve"> without providing reasonable notice to suppliers (and compensation for net costs).</w:t>
      </w:r>
    </w:p>
    <w:p w14:paraId="3083CA80" w14:textId="77777777" w:rsidR="005862F8" w:rsidRDefault="005862F8">
      <w:r>
        <w:br w:type="page"/>
      </w:r>
    </w:p>
    <w:p w14:paraId="47C1C98F" w14:textId="7E8ADE6C" w:rsidR="007050AD" w:rsidRDefault="005862F8" w:rsidP="007050AD">
      <w:pPr>
        <w:pStyle w:val="Numbered"/>
      </w:pPr>
      <w:r>
        <w:lastRenderedPageBreak/>
        <w:t>T</w:t>
      </w:r>
      <w:r w:rsidR="007050AD">
        <w:t>he options we are considering are:</w:t>
      </w:r>
    </w:p>
    <w:tbl>
      <w:tblPr>
        <w:tblStyle w:val="TableGrid"/>
        <w:tblW w:w="9214"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CellMar>
          <w:top w:w="85" w:type="dxa"/>
          <w:bottom w:w="85" w:type="dxa"/>
        </w:tblCellMar>
        <w:tblLook w:val="0600" w:firstRow="0" w:lastRow="0" w:firstColumn="0" w:lastColumn="0" w:noHBand="1" w:noVBand="1"/>
      </w:tblPr>
      <w:tblGrid>
        <w:gridCol w:w="2694"/>
        <w:gridCol w:w="2693"/>
        <w:gridCol w:w="3827"/>
      </w:tblGrid>
      <w:tr w:rsidR="007050AD" w:rsidRPr="00D3390A" w14:paraId="1849FE18" w14:textId="77777777" w:rsidTr="005862F8">
        <w:tc>
          <w:tcPr>
            <w:tcW w:w="2694" w:type="dxa"/>
            <w:shd w:val="clear" w:color="auto" w:fill="B3D0D5"/>
          </w:tcPr>
          <w:p w14:paraId="705E41EC" w14:textId="77777777" w:rsidR="007050AD" w:rsidRPr="001421FA" w:rsidRDefault="007050AD" w:rsidP="00B452A5">
            <w:pPr>
              <w:pStyle w:val="Numbered"/>
              <w:numPr>
                <w:ilvl w:val="0"/>
                <w:numId w:val="0"/>
              </w:numPr>
              <w:spacing w:before="0"/>
              <w:rPr>
                <w:sz w:val="20"/>
                <w:szCs w:val="20"/>
              </w:rPr>
            </w:pPr>
            <w:r w:rsidRPr="001421FA">
              <w:rPr>
                <w:b/>
                <w:bCs/>
                <w:sz w:val="20"/>
                <w:szCs w:val="20"/>
              </w:rPr>
              <w:t>Option 1 (Principle-based Code):</w:t>
            </w:r>
          </w:p>
        </w:tc>
        <w:tc>
          <w:tcPr>
            <w:tcW w:w="2693" w:type="dxa"/>
            <w:shd w:val="clear" w:color="auto" w:fill="B3D0D5"/>
          </w:tcPr>
          <w:p w14:paraId="6B13E5CE" w14:textId="77777777" w:rsidR="007050AD" w:rsidRPr="001421FA" w:rsidRDefault="007050AD" w:rsidP="00B452A5">
            <w:pPr>
              <w:pStyle w:val="Numbered"/>
              <w:numPr>
                <w:ilvl w:val="0"/>
                <w:numId w:val="0"/>
              </w:numPr>
              <w:spacing w:before="0"/>
              <w:rPr>
                <w:sz w:val="20"/>
                <w:szCs w:val="20"/>
              </w:rPr>
            </w:pPr>
            <w:r w:rsidRPr="00D3390A">
              <w:rPr>
                <w:b/>
                <w:bCs/>
                <w:sz w:val="20"/>
                <w:szCs w:val="20"/>
              </w:rPr>
              <w:t>Option 2 (Prescriptive Code):</w:t>
            </w:r>
          </w:p>
        </w:tc>
        <w:tc>
          <w:tcPr>
            <w:tcW w:w="3827" w:type="dxa"/>
            <w:shd w:val="clear" w:color="auto" w:fill="B3D0D5"/>
          </w:tcPr>
          <w:p w14:paraId="7563FF67" w14:textId="77777777" w:rsidR="007050AD" w:rsidRPr="001421FA" w:rsidRDefault="007050AD" w:rsidP="00B452A5">
            <w:pPr>
              <w:pStyle w:val="Numbered"/>
              <w:numPr>
                <w:ilvl w:val="0"/>
                <w:numId w:val="0"/>
              </w:numPr>
              <w:spacing w:before="0"/>
              <w:rPr>
                <w:sz w:val="20"/>
                <w:szCs w:val="20"/>
              </w:rPr>
            </w:pPr>
            <w:r w:rsidRPr="001421FA">
              <w:rPr>
                <w:b/>
                <w:bCs/>
                <w:sz w:val="20"/>
                <w:szCs w:val="20"/>
              </w:rPr>
              <w:t>Option 3 (</w:t>
            </w:r>
            <w:r w:rsidRPr="00D3390A">
              <w:rPr>
                <w:b/>
                <w:bCs/>
                <w:sz w:val="20"/>
                <w:szCs w:val="20"/>
              </w:rPr>
              <w:t xml:space="preserve">Alternative </w:t>
            </w:r>
            <w:r w:rsidRPr="001421FA">
              <w:rPr>
                <w:b/>
                <w:bCs/>
                <w:sz w:val="20"/>
                <w:szCs w:val="20"/>
              </w:rPr>
              <w:t xml:space="preserve">Code): </w:t>
            </w:r>
          </w:p>
        </w:tc>
      </w:tr>
      <w:tr w:rsidR="007050AD" w:rsidRPr="0095677E" w14:paraId="05CFDF8D" w14:textId="77777777" w:rsidTr="005862F8">
        <w:tc>
          <w:tcPr>
            <w:tcW w:w="2694" w:type="dxa"/>
            <w:shd w:val="clear" w:color="auto" w:fill="B3D0D5"/>
          </w:tcPr>
          <w:p w14:paraId="69A592F1" w14:textId="77777777" w:rsidR="007050AD" w:rsidRPr="00142B8A" w:rsidRDefault="007050AD" w:rsidP="005862F8">
            <w:pPr>
              <w:rPr>
                <w:b/>
                <w:bCs/>
                <w:sz w:val="20"/>
                <w:szCs w:val="20"/>
              </w:rPr>
            </w:pPr>
            <w:r w:rsidRPr="00142B8A">
              <w:rPr>
                <w:b/>
                <w:bCs/>
                <w:sz w:val="20"/>
                <w:szCs w:val="20"/>
              </w:rPr>
              <w:t>Payments for promotions</w:t>
            </w:r>
          </w:p>
          <w:p w14:paraId="61D16309" w14:textId="0D900DE5" w:rsidR="007050AD" w:rsidRPr="00142B8A" w:rsidRDefault="007050AD" w:rsidP="005C0157">
            <w:pPr>
              <w:pStyle w:val="Numbered"/>
              <w:numPr>
                <w:ilvl w:val="0"/>
                <w:numId w:val="0"/>
              </w:numPr>
              <w:spacing w:before="0" w:after="120"/>
              <w:rPr>
                <w:b/>
                <w:bCs/>
                <w:sz w:val="20"/>
                <w:szCs w:val="20"/>
              </w:rPr>
            </w:pPr>
            <w:r w:rsidRPr="00142B8A">
              <w:rPr>
                <w:sz w:val="20"/>
                <w:szCs w:val="20"/>
              </w:rPr>
              <w:t>Prohibit payments for promotions except where reasonable notice is provided.</w:t>
            </w:r>
          </w:p>
          <w:p w14:paraId="38D1489B" w14:textId="77777777" w:rsidR="007050AD" w:rsidRPr="00142B8A" w:rsidRDefault="007050AD" w:rsidP="00B452A5">
            <w:pPr>
              <w:pStyle w:val="Numbered"/>
              <w:numPr>
                <w:ilvl w:val="0"/>
                <w:numId w:val="0"/>
              </w:numPr>
              <w:spacing w:before="120"/>
              <w:rPr>
                <w:b/>
                <w:bCs/>
                <w:sz w:val="20"/>
                <w:szCs w:val="20"/>
              </w:rPr>
            </w:pPr>
            <w:r w:rsidRPr="00142B8A">
              <w:rPr>
                <w:b/>
                <w:bCs/>
                <w:sz w:val="20"/>
                <w:szCs w:val="20"/>
              </w:rPr>
              <w:t>Promotional buying</w:t>
            </w:r>
          </w:p>
          <w:p w14:paraId="4FDB3135" w14:textId="77777777" w:rsidR="007050AD" w:rsidRPr="00142B8A" w:rsidRDefault="007050AD" w:rsidP="00B452A5">
            <w:pPr>
              <w:pStyle w:val="Numbered"/>
              <w:numPr>
                <w:ilvl w:val="0"/>
                <w:numId w:val="0"/>
              </w:numPr>
              <w:spacing w:before="0"/>
              <w:rPr>
                <w:sz w:val="20"/>
                <w:szCs w:val="20"/>
              </w:rPr>
            </w:pPr>
            <w:r w:rsidRPr="00142B8A">
              <w:rPr>
                <w:sz w:val="20"/>
                <w:szCs w:val="20"/>
              </w:rPr>
              <w:t xml:space="preserve">Care to be taken when buying for a promotion and compensation paid if goods purchased at a promotional price are sold to consumers at a non-promotional price. </w:t>
            </w:r>
          </w:p>
        </w:tc>
        <w:tc>
          <w:tcPr>
            <w:tcW w:w="2693" w:type="dxa"/>
            <w:shd w:val="clear" w:color="auto" w:fill="B3D0D5"/>
          </w:tcPr>
          <w:p w14:paraId="26FBA25C" w14:textId="77777777" w:rsidR="007050AD" w:rsidRPr="00142B8A" w:rsidRDefault="007050AD" w:rsidP="005862F8">
            <w:pPr>
              <w:rPr>
                <w:b/>
                <w:bCs/>
                <w:sz w:val="20"/>
                <w:szCs w:val="20"/>
              </w:rPr>
            </w:pPr>
            <w:r w:rsidRPr="00142B8A">
              <w:rPr>
                <w:b/>
                <w:bCs/>
                <w:sz w:val="20"/>
                <w:szCs w:val="20"/>
              </w:rPr>
              <w:t>Payments for promotions</w:t>
            </w:r>
          </w:p>
          <w:p w14:paraId="263F5ABE" w14:textId="6A71BFB0" w:rsidR="007050AD" w:rsidRPr="00142B8A" w:rsidRDefault="007050AD" w:rsidP="005C0157">
            <w:pPr>
              <w:pStyle w:val="Numbered"/>
              <w:numPr>
                <w:ilvl w:val="0"/>
                <w:numId w:val="0"/>
              </w:numPr>
              <w:spacing w:before="0" w:after="120"/>
              <w:rPr>
                <w:b/>
                <w:bCs/>
                <w:sz w:val="20"/>
                <w:szCs w:val="20"/>
              </w:rPr>
            </w:pPr>
            <w:r w:rsidRPr="00142B8A">
              <w:rPr>
                <w:sz w:val="20"/>
                <w:szCs w:val="20"/>
              </w:rPr>
              <w:t xml:space="preserve">Prohibit payments for promotions except where the payment is provided for in the </w:t>
            </w:r>
            <w:r>
              <w:rPr>
                <w:sz w:val="20"/>
                <w:szCs w:val="20"/>
              </w:rPr>
              <w:t xml:space="preserve">grocery </w:t>
            </w:r>
            <w:r w:rsidRPr="00142B8A">
              <w:rPr>
                <w:sz w:val="20"/>
                <w:szCs w:val="20"/>
              </w:rPr>
              <w:t xml:space="preserve">supply agreement and is reasonable in the circumstances. </w:t>
            </w:r>
          </w:p>
          <w:p w14:paraId="6788DFD9" w14:textId="77777777" w:rsidR="007050AD" w:rsidRPr="00142B8A" w:rsidRDefault="007050AD" w:rsidP="00B452A5">
            <w:pPr>
              <w:pStyle w:val="Numbered"/>
              <w:numPr>
                <w:ilvl w:val="0"/>
                <w:numId w:val="0"/>
              </w:numPr>
              <w:spacing w:before="120"/>
              <w:rPr>
                <w:b/>
                <w:bCs/>
                <w:sz w:val="20"/>
                <w:szCs w:val="20"/>
              </w:rPr>
            </w:pPr>
            <w:r w:rsidRPr="00142B8A">
              <w:rPr>
                <w:b/>
                <w:bCs/>
                <w:sz w:val="20"/>
                <w:szCs w:val="20"/>
              </w:rPr>
              <w:t>Promotional buying</w:t>
            </w:r>
          </w:p>
          <w:p w14:paraId="090063D9" w14:textId="77777777" w:rsidR="007050AD" w:rsidRDefault="007050AD" w:rsidP="00B452A5">
            <w:pPr>
              <w:pStyle w:val="Numbered"/>
              <w:numPr>
                <w:ilvl w:val="0"/>
                <w:numId w:val="0"/>
              </w:numPr>
              <w:spacing w:before="0"/>
              <w:rPr>
                <w:sz w:val="20"/>
                <w:szCs w:val="20"/>
              </w:rPr>
            </w:pPr>
            <w:r w:rsidRPr="00142B8A">
              <w:rPr>
                <w:sz w:val="20"/>
                <w:szCs w:val="20"/>
              </w:rPr>
              <w:t>Care to be taken when buying for a promotion</w:t>
            </w:r>
            <w:r>
              <w:rPr>
                <w:sz w:val="20"/>
                <w:szCs w:val="20"/>
              </w:rPr>
              <w:t xml:space="preserve">. </w:t>
            </w:r>
          </w:p>
          <w:p w14:paraId="6F033167" w14:textId="77777777" w:rsidR="007050AD" w:rsidRPr="00142B8A" w:rsidRDefault="007050AD" w:rsidP="00B452A5">
            <w:pPr>
              <w:pStyle w:val="Numbered"/>
              <w:numPr>
                <w:ilvl w:val="0"/>
                <w:numId w:val="0"/>
              </w:numPr>
              <w:spacing w:before="0"/>
              <w:rPr>
                <w:sz w:val="20"/>
                <w:szCs w:val="20"/>
              </w:rPr>
            </w:pPr>
            <w:r>
              <w:rPr>
                <w:sz w:val="20"/>
                <w:szCs w:val="20"/>
              </w:rPr>
              <w:t>C</w:t>
            </w:r>
            <w:r w:rsidRPr="00142B8A">
              <w:rPr>
                <w:sz w:val="20"/>
                <w:szCs w:val="20"/>
              </w:rPr>
              <w:t xml:space="preserve">ompensation </w:t>
            </w:r>
            <w:r>
              <w:rPr>
                <w:sz w:val="20"/>
                <w:szCs w:val="20"/>
              </w:rPr>
              <w:t xml:space="preserve">only to be </w:t>
            </w:r>
            <w:r w:rsidRPr="00142B8A">
              <w:rPr>
                <w:sz w:val="20"/>
                <w:szCs w:val="20"/>
              </w:rPr>
              <w:t xml:space="preserve">paid if goods purchased at a promotional price are sold </w:t>
            </w:r>
            <w:r>
              <w:rPr>
                <w:sz w:val="20"/>
                <w:szCs w:val="20"/>
              </w:rPr>
              <w:t>at a price other than what is agreed with the supplier.</w:t>
            </w:r>
          </w:p>
        </w:tc>
        <w:tc>
          <w:tcPr>
            <w:tcW w:w="3827" w:type="dxa"/>
            <w:shd w:val="clear" w:color="auto" w:fill="B3D0D5"/>
          </w:tcPr>
          <w:p w14:paraId="688B37BF" w14:textId="77777777" w:rsidR="007050AD" w:rsidRPr="006654F5" w:rsidRDefault="007050AD" w:rsidP="005862F8">
            <w:pPr>
              <w:rPr>
                <w:b/>
                <w:bCs/>
                <w:sz w:val="20"/>
                <w:szCs w:val="20"/>
              </w:rPr>
            </w:pPr>
            <w:r w:rsidRPr="00142B8A">
              <w:rPr>
                <w:b/>
                <w:bCs/>
                <w:sz w:val="20"/>
                <w:szCs w:val="20"/>
              </w:rPr>
              <w:t>Payments for promotions</w:t>
            </w:r>
            <w:r w:rsidRPr="006654F5">
              <w:rPr>
                <w:b/>
                <w:bCs/>
                <w:sz w:val="20"/>
                <w:szCs w:val="20"/>
              </w:rPr>
              <w:t xml:space="preserve"> </w:t>
            </w:r>
          </w:p>
          <w:p w14:paraId="0CAE6591" w14:textId="5B7B2586" w:rsidR="007050AD" w:rsidRDefault="007050AD" w:rsidP="005C0157">
            <w:pPr>
              <w:pStyle w:val="Numbered"/>
              <w:numPr>
                <w:ilvl w:val="0"/>
                <w:numId w:val="0"/>
              </w:numPr>
              <w:spacing w:before="0" w:after="120"/>
              <w:rPr>
                <w:sz w:val="20"/>
                <w:szCs w:val="20"/>
              </w:rPr>
            </w:pPr>
            <w:r w:rsidRPr="00142B8A">
              <w:rPr>
                <w:sz w:val="20"/>
                <w:szCs w:val="20"/>
              </w:rPr>
              <w:t xml:space="preserve">Prohibit payments for promotions except where the payment is provided for in the </w:t>
            </w:r>
            <w:r>
              <w:rPr>
                <w:sz w:val="20"/>
                <w:szCs w:val="20"/>
              </w:rPr>
              <w:t xml:space="preserve">grocery </w:t>
            </w:r>
            <w:r w:rsidRPr="00142B8A">
              <w:rPr>
                <w:sz w:val="20"/>
                <w:szCs w:val="20"/>
              </w:rPr>
              <w:t>supply agreement and is reasonable in the circumstances</w:t>
            </w:r>
            <w:r>
              <w:rPr>
                <w:sz w:val="20"/>
                <w:szCs w:val="20"/>
              </w:rPr>
              <w:t xml:space="preserve"> considering the relative benefits of the promotion to the supplier and the designated retailer</w:t>
            </w:r>
            <w:r w:rsidRPr="00142B8A">
              <w:rPr>
                <w:sz w:val="20"/>
                <w:szCs w:val="20"/>
              </w:rPr>
              <w:t xml:space="preserve">. </w:t>
            </w:r>
          </w:p>
          <w:p w14:paraId="197B194F" w14:textId="77777777" w:rsidR="007050AD" w:rsidRPr="005C0157" w:rsidRDefault="007050AD" w:rsidP="005C0157">
            <w:pPr>
              <w:pStyle w:val="Numbered"/>
              <w:numPr>
                <w:ilvl w:val="0"/>
                <w:numId w:val="0"/>
              </w:numPr>
              <w:spacing w:before="0" w:after="120"/>
              <w:rPr>
                <w:sz w:val="20"/>
                <w:szCs w:val="20"/>
              </w:rPr>
            </w:pPr>
            <w:r>
              <w:rPr>
                <w:sz w:val="20"/>
                <w:szCs w:val="20"/>
              </w:rPr>
              <w:t>R</w:t>
            </w:r>
            <w:r w:rsidRPr="004D0244">
              <w:rPr>
                <w:sz w:val="20"/>
                <w:szCs w:val="20"/>
              </w:rPr>
              <w:t xml:space="preserve">equire the cost of promotions to be shared between </w:t>
            </w:r>
            <w:r>
              <w:rPr>
                <w:sz w:val="20"/>
                <w:szCs w:val="20"/>
              </w:rPr>
              <w:t xml:space="preserve">designated </w:t>
            </w:r>
            <w:r w:rsidRPr="004D0244">
              <w:rPr>
                <w:sz w:val="20"/>
                <w:szCs w:val="20"/>
              </w:rPr>
              <w:t xml:space="preserve">retailer and supplier in a manner that reflects relative benefits? </w:t>
            </w:r>
          </w:p>
          <w:p w14:paraId="2286B6EE" w14:textId="77777777" w:rsidR="007050AD" w:rsidRPr="00142B8A" w:rsidRDefault="007050AD" w:rsidP="00B452A5">
            <w:pPr>
              <w:pStyle w:val="Numbered"/>
              <w:numPr>
                <w:ilvl w:val="0"/>
                <w:numId w:val="0"/>
              </w:numPr>
              <w:spacing w:before="120"/>
              <w:rPr>
                <w:b/>
                <w:bCs/>
                <w:sz w:val="20"/>
                <w:szCs w:val="20"/>
              </w:rPr>
            </w:pPr>
            <w:r w:rsidRPr="00142B8A">
              <w:rPr>
                <w:b/>
                <w:bCs/>
                <w:sz w:val="20"/>
                <w:szCs w:val="20"/>
              </w:rPr>
              <w:t>Promotional buying</w:t>
            </w:r>
          </w:p>
          <w:p w14:paraId="25248A06" w14:textId="77777777" w:rsidR="007050AD" w:rsidRPr="006654F5" w:rsidRDefault="007050AD" w:rsidP="005C0157">
            <w:pPr>
              <w:pStyle w:val="Numbered"/>
              <w:numPr>
                <w:ilvl w:val="0"/>
                <w:numId w:val="0"/>
              </w:numPr>
              <w:spacing w:before="0" w:after="120"/>
              <w:rPr>
                <w:sz w:val="20"/>
                <w:szCs w:val="20"/>
                <w:highlight w:val="yellow"/>
              </w:rPr>
            </w:pPr>
            <w:r w:rsidRPr="00142B8A">
              <w:rPr>
                <w:sz w:val="20"/>
                <w:szCs w:val="20"/>
              </w:rPr>
              <w:t>Care to be taken when buying for a promotion</w:t>
            </w:r>
            <w:r>
              <w:rPr>
                <w:sz w:val="20"/>
                <w:szCs w:val="20"/>
              </w:rPr>
              <w:t>. P</w:t>
            </w:r>
            <w:r w:rsidRPr="006654F5">
              <w:rPr>
                <w:sz w:val="20"/>
                <w:szCs w:val="20"/>
              </w:rPr>
              <w:t xml:space="preserve">romotional buying </w:t>
            </w:r>
            <w:r>
              <w:rPr>
                <w:sz w:val="20"/>
                <w:szCs w:val="20"/>
              </w:rPr>
              <w:t xml:space="preserve">allowed </w:t>
            </w:r>
            <w:r w:rsidRPr="006654F5">
              <w:rPr>
                <w:sz w:val="20"/>
                <w:szCs w:val="20"/>
              </w:rPr>
              <w:t xml:space="preserve">as agreed between retailers and suppliers in </w:t>
            </w:r>
            <w:r>
              <w:rPr>
                <w:sz w:val="20"/>
                <w:szCs w:val="20"/>
              </w:rPr>
              <w:t xml:space="preserve">grocery </w:t>
            </w:r>
            <w:r w:rsidRPr="006654F5">
              <w:rPr>
                <w:sz w:val="20"/>
                <w:szCs w:val="20"/>
              </w:rPr>
              <w:t>supply agreement</w:t>
            </w:r>
            <w:r>
              <w:rPr>
                <w:sz w:val="20"/>
                <w:szCs w:val="20"/>
              </w:rPr>
              <w:t>,</w:t>
            </w:r>
            <w:r w:rsidRPr="006654F5">
              <w:rPr>
                <w:sz w:val="20"/>
                <w:szCs w:val="20"/>
              </w:rPr>
              <w:t xml:space="preserve"> provided it is reasonable in the circumstances </w:t>
            </w:r>
          </w:p>
        </w:tc>
      </w:tr>
    </w:tbl>
    <w:p w14:paraId="2F0120E5" w14:textId="77777777" w:rsidR="005862F8" w:rsidRPr="001421FA" w:rsidRDefault="005862F8" w:rsidP="005862F8">
      <w:pPr>
        <w:pStyle w:val="Numbered"/>
      </w:pPr>
      <w:r>
        <w:t xml:space="preserve">In relation to payments for promotions, the options are very similar. </w:t>
      </w:r>
      <w:r>
        <w:rPr>
          <w:b/>
          <w:bCs/>
        </w:rPr>
        <w:t>Option 3</w:t>
      </w:r>
      <w:r>
        <w:t xml:space="preserve"> is the most effective and efficient by a slight margin because it provides a little more transparency and clarity around what a reasonable split of cost might be, while prohibiting a supplier fully funding the promotion. </w:t>
      </w:r>
      <w:r>
        <w:rPr>
          <w:b/>
          <w:bCs/>
        </w:rPr>
        <w:t xml:space="preserve">Option 1 </w:t>
      </w:r>
      <w:r>
        <w:t xml:space="preserve">is the least effective because it lacks a ‘reasonableness’ provision. </w:t>
      </w:r>
    </w:p>
    <w:p w14:paraId="1845A162" w14:textId="77777777" w:rsidR="005862F8" w:rsidRDefault="007050AD" w:rsidP="007050AD">
      <w:pPr>
        <w:pStyle w:val="Numbered"/>
      </w:pPr>
      <w:r>
        <w:t xml:space="preserve">The key difference between the three options is around promotional buying and investment buying. </w:t>
      </w:r>
    </w:p>
    <w:p w14:paraId="62F73CD2" w14:textId="77777777" w:rsidR="005862F8" w:rsidRDefault="007050AD" w:rsidP="005862F8">
      <w:pPr>
        <w:pStyle w:val="Numbered"/>
        <w:numPr>
          <w:ilvl w:val="1"/>
          <w:numId w:val="1"/>
        </w:numPr>
      </w:pPr>
      <w:r>
        <w:t xml:space="preserve">The compensation requirement in </w:t>
      </w:r>
      <w:r>
        <w:rPr>
          <w:b/>
          <w:bCs/>
        </w:rPr>
        <w:t>Options 1 and 2</w:t>
      </w:r>
      <w:r>
        <w:t xml:space="preserve"> may have the effect of prohibiting investment buying – which could impact on prices for consumers. </w:t>
      </w:r>
    </w:p>
    <w:p w14:paraId="12BFCFC2" w14:textId="795F9580" w:rsidR="007050AD" w:rsidRDefault="007050AD" w:rsidP="005862F8">
      <w:pPr>
        <w:pStyle w:val="Numbered"/>
        <w:numPr>
          <w:ilvl w:val="1"/>
          <w:numId w:val="1"/>
        </w:numPr>
      </w:pPr>
      <w:r>
        <w:rPr>
          <w:b/>
          <w:bCs/>
        </w:rPr>
        <w:t>Option 3</w:t>
      </w:r>
      <w:r>
        <w:t xml:space="preserve"> does not require compensation and should therefore allow any investment buying provided it is agreed between the designated retailer and supplier and is reasonable in the circumstances. </w:t>
      </w:r>
    </w:p>
    <w:p w14:paraId="63920D68" w14:textId="0F78CAB5" w:rsidR="007050AD" w:rsidRDefault="007050AD" w:rsidP="007050AD">
      <w:pPr>
        <w:pStyle w:val="Numbered"/>
      </w:pPr>
      <w:r w:rsidRPr="00B452A5">
        <w:t>Overall,</w:t>
      </w:r>
      <w:r>
        <w:rPr>
          <w:b/>
          <w:bCs/>
        </w:rPr>
        <w:t xml:space="preserve"> Option 3 </w:t>
      </w:r>
      <w:r>
        <w:t>appears to be more durable and effective because it will allow the designated retailer and supplier to reach any promotional buying/investment buying agreement that is reasonable in the circumstances. It may be more efficient for designated retailers and suppliers because it will not encourage innovation to circumvent the Code, but may require additional guidance from the regulator on what is reasonable.</w:t>
      </w:r>
    </w:p>
    <w:p w14:paraId="28053C80" w14:textId="512E3CB6" w:rsidR="005862F8" w:rsidRDefault="005862F8" w:rsidP="007050AD">
      <w:pPr>
        <w:pStyle w:val="Numbered"/>
      </w:pPr>
      <w:r>
        <w:t xml:space="preserve">We note that </w:t>
      </w:r>
      <w:r w:rsidRPr="005862F8">
        <w:rPr>
          <w:b/>
          <w:bCs/>
        </w:rPr>
        <w:t>options 1 or 2</w:t>
      </w:r>
      <w:r>
        <w:t xml:space="preserve"> could be modified to allow investment buying (or an equivalent) as agreed in grocery supply agreements if feedback from consultation indicates this is considered positive. </w:t>
      </w:r>
    </w:p>
    <w:p w14:paraId="75DBF82B" w14:textId="77777777" w:rsidR="005862F8" w:rsidRDefault="005862F8" w:rsidP="005862F8">
      <w:pPr>
        <w:pStyle w:val="Numbered"/>
        <w:numPr>
          <w:ilvl w:val="0"/>
          <w:numId w:val="0"/>
        </w:numPr>
        <w:ind w:left="567" w:hanging="567"/>
      </w:pPr>
    </w:p>
    <w:p w14:paraId="1ADF90CA" w14:textId="73BC9AF2" w:rsidR="00AE5945" w:rsidRDefault="00AE5945" w:rsidP="00AD74B8">
      <w:pPr>
        <w:pStyle w:val="Heading2"/>
        <w:tabs>
          <w:tab w:val="left" w:pos="567"/>
        </w:tabs>
      </w:pPr>
      <w:bookmarkStart w:id="195" w:name="_Toc107919656"/>
      <w:r>
        <w:lastRenderedPageBreak/>
        <w:t>7.7</w:t>
      </w:r>
      <w:r w:rsidR="00AD74B8">
        <w:tab/>
      </w:r>
      <w:r>
        <w:t>Other payments</w:t>
      </w:r>
      <w:bookmarkEnd w:id="192"/>
      <w:bookmarkEnd w:id="195"/>
      <w:r w:rsidRPr="00C94FFA">
        <w:t xml:space="preserve"> </w:t>
      </w:r>
    </w:p>
    <w:p w14:paraId="16945965" w14:textId="14926C51" w:rsidR="00535119" w:rsidRPr="008310CD" w:rsidRDefault="00535119" w:rsidP="00535119">
      <w:pPr>
        <w:pStyle w:val="Numbered"/>
        <w:numPr>
          <w:ilvl w:val="0"/>
          <w:numId w:val="0"/>
        </w:numPr>
        <w:rPr>
          <w:b/>
          <w:bCs/>
        </w:rPr>
      </w:pPr>
      <w:r w:rsidRPr="008310CD">
        <w:rPr>
          <w:b/>
          <w:bCs/>
        </w:rPr>
        <w:t xml:space="preserve">Forcing suppliers to purchase or use </w:t>
      </w:r>
      <w:r w:rsidR="005862F8">
        <w:rPr>
          <w:b/>
          <w:bCs/>
        </w:rPr>
        <w:t xml:space="preserve">designated </w:t>
      </w:r>
      <w:r w:rsidRPr="008310CD">
        <w:rPr>
          <w:b/>
          <w:bCs/>
        </w:rPr>
        <w:t xml:space="preserve">retailers’ data services </w:t>
      </w:r>
    </w:p>
    <w:p w14:paraId="3DB85B92" w14:textId="165B495A" w:rsidR="00535119" w:rsidRPr="008310CD" w:rsidRDefault="00535119" w:rsidP="001D0067">
      <w:pPr>
        <w:pStyle w:val="Numbered"/>
      </w:pPr>
      <w:r w:rsidRPr="008310CD">
        <w:t>The Commission heard some concerns that suppliers were being forced to purchase data from</w:t>
      </w:r>
      <w:r w:rsidR="00B17335">
        <w:t xml:space="preserve"> </w:t>
      </w:r>
      <w:r w:rsidR="005862F8">
        <w:t xml:space="preserve">designated </w:t>
      </w:r>
      <w:r w:rsidRPr="008310CD">
        <w:t>retailers</w:t>
      </w:r>
      <w:r w:rsidR="004A1F74">
        <w:t>’</w:t>
      </w:r>
      <w:r w:rsidRPr="008310CD">
        <w:t xml:space="preserve"> data services as part of the supply agreement. Similarly, we have heard suggestions that suppliers do</w:t>
      </w:r>
      <w:r w:rsidR="004A1F74">
        <w:t xml:space="preserve"> </w:t>
      </w:r>
      <w:r w:rsidRPr="008310CD">
        <w:t>n</w:t>
      </w:r>
      <w:r w:rsidR="004A1F74">
        <w:t>o</w:t>
      </w:r>
      <w:r w:rsidRPr="008310CD">
        <w:t xml:space="preserve">t have access to the same data that is used by </w:t>
      </w:r>
      <w:r w:rsidR="005862F8">
        <w:t xml:space="preserve">designated </w:t>
      </w:r>
      <w:r w:rsidRPr="008310CD">
        <w:t xml:space="preserve">retailers when conducting range reviews. </w:t>
      </w:r>
    </w:p>
    <w:p w14:paraId="761DBBCB" w14:textId="77777777" w:rsidR="00AE5945" w:rsidRPr="00213CEC" w:rsidRDefault="00AE5945" w:rsidP="00AE5945">
      <w:pPr>
        <w:pStyle w:val="Numbered"/>
        <w:numPr>
          <w:ilvl w:val="0"/>
          <w:numId w:val="0"/>
        </w:numPr>
        <w:rPr>
          <w:b/>
          <w:bCs/>
        </w:rPr>
      </w:pPr>
      <w:r>
        <w:rPr>
          <w:b/>
          <w:bCs/>
        </w:rPr>
        <w:t>Consumer complaints</w:t>
      </w:r>
    </w:p>
    <w:p w14:paraId="1D3ADC53" w14:textId="2C7D2B71" w:rsidR="00AE5945" w:rsidRPr="004B0399" w:rsidRDefault="00AE5945" w:rsidP="00314EDD">
      <w:pPr>
        <w:pStyle w:val="Numbered"/>
        <w:rPr>
          <w:i/>
          <w:iCs/>
          <w:u w:val="single"/>
        </w:rPr>
      </w:pPr>
      <w:r>
        <w:t xml:space="preserve">The UK Code has a provision limiting the ability of a retailer to pass on the costs of a consumer complaint unless the complaint is justifiable and attributable to negligence or default or breach of </w:t>
      </w:r>
      <w:r w:rsidR="00C57ED1">
        <w:t xml:space="preserve">the </w:t>
      </w:r>
      <w:r>
        <w:t>supply agreement by the supplier</w:t>
      </w:r>
      <w:r w:rsidR="00243DE8">
        <w:t xml:space="preserve"> (see article 15)</w:t>
      </w:r>
      <w:r>
        <w:t xml:space="preserve">. As a principle, such a provision may be a useful backstop protection for suppliers. However, we are not aware of consumer complaints being an issue between suppliers and retailers. </w:t>
      </w:r>
    </w:p>
    <w:p w14:paraId="2EA85A04" w14:textId="6E834A8C" w:rsidR="00AC67AF" w:rsidRDefault="00AC67AF" w:rsidP="00AD74B8">
      <w:pPr>
        <w:pStyle w:val="Heading2"/>
        <w:tabs>
          <w:tab w:val="left" w:pos="567"/>
        </w:tabs>
      </w:pPr>
      <w:bookmarkStart w:id="196" w:name="_Toc104358677"/>
      <w:bookmarkStart w:id="197" w:name="_Toc107919657"/>
      <w:bookmarkEnd w:id="193"/>
      <w:r>
        <w:t>7.</w:t>
      </w:r>
      <w:r w:rsidR="00FB2DC7">
        <w:t>8</w:t>
      </w:r>
      <w:r w:rsidR="00AD74B8">
        <w:tab/>
      </w:r>
      <w:r w:rsidR="00861D0E">
        <w:t xml:space="preserve">Preliminary options </w:t>
      </w:r>
      <w:r>
        <w:t>analysis</w:t>
      </w:r>
      <w:bookmarkEnd w:id="196"/>
      <w:bookmarkEnd w:id="197"/>
    </w:p>
    <w:p w14:paraId="4ECEDE08" w14:textId="197359BC" w:rsidR="0055478B" w:rsidRDefault="0055478B" w:rsidP="0055478B">
      <w:pPr>
        <w:pStyle w:val="Numbered"/>
      </w:pPr>
      <w:r>
        <w:t xml:space="preserve">The following tables provide an overview of the matters considered in this chapter and how they are regulated by the Code. These same options are then analysed against the criteria. </w:t>
      </w:r>
    </w:p>
    <w:tbl>
      <w:tblPr>
        <w:tblStyle w:val="TableGrid"/>
        <w:tblW w:w="9169" w:type="dxa"/>
        <w:tblInd w:w="-5" w:type="dxa"/>
        <w:tblLayout w:type="fixed"/>
        <w:tblCellMar>
          <w:left w:w="57" w:type="dxa"/>
          <w:right w:w="57" w:type="dxa"/>
        </w:tblCellMar>
        <w:tblLook w:val="04A0" w:firstRow="1" w:lastRow="0" w:firstColumn="1" w:lastColumn="0" w:noHBand="0" w:noVBand="1"/>
      </w:tblPr>
      <w:tblGrid>
        <w:gridCol w:w="2977"/>
        <w:gridCol w:w="567"/>
        <w:gridCol w:w="567"/>
        <w:gridCol w:w="851"/>
        <w:gridCol w:w="4207"/>
      </w:tblGrid>
      <w:tr w:rsidR="0055478B" w14:paraId="586A542F" w14:textId="77777777" w:rsidTr="005862F8">
        <w:tc>
          <w:tcPr>
            <w:tcW w:w="2977" w:type="dxa"/>
            <w:vMerge w:val="restart"/>
          </w:tcPr>
          <w:p w14:paraId="0130D0EF" w14:textId="77777777" w:rsidR="0055478B" w:rsidRPr="00335395" w:rsidRDefault="0055478B" w:rsidP="00781B33">
            <w:pPr>
              <w:pStyle w:val="Numbered"/>
              <w:numPr>
                <w:ilvl w:val="0"/>
                <w:numId w:val="0"/>
              </w:numPr>
              <w:spacing w:before="0" w:line="276" w:lineRule="auto"/>
              <w:rPr>
                <w:b/>
                <w:bCs/>
              </w:rPr>
            </w:pPr>
            <w:r w:rsidRPr="00335395">
              <w:rPr>
                <w:b/>
                <w:bCs/>
              </w:rPr>
              <w:t>Option 1 Principle-based Code</w:t>
            </w:r>
          </w:p>
        </w:tc>
        <w:tc>
          <w:tcPr>
            <w:tcW w:w="6192" w:type="dxa"/>
            <w:gridSpan w:val="4"/>
            <w:vAlign w:val="center"/>
          </w:tcPr>
          <w:p w14:paraId="48CC15BA" w14:textId="6B3252B5" w:rsidR="0055478B" w:rsidRPr="00A82B1F" w:rsidRDefault="008E27CD" w:rsidP="005509A4">
            <w:pPr>
              <w:pStyle w:val="Numbered"/>
              <w:numPr>
                <w:ilvl w:val="0"/>
                <w:numId w:val="0"/>
              </w:numPr>
              <w:spacing w:before="0"/>
              <w:jc w:val="center"/>
              <w:rPr>
                <w:b/>
                <w:bCs/>
              </w:rPr>
            </w:pPr>
            <w:r w:rsidRPr="00A82B1F">
              <w:rPr>
                <w:b/>
                <w:bCs/>
              </w:rPr>
              <w:t xml:space="preserve">How the </w:t>
            </w:r>
            <w:r>
              <w:rPr>
                <w:b/>
                <w:bCs/>
              </w:rPr>
              <w:t>option</w:t>
            </w:r>
            <w:r w:rsidRPr="00A82B1F">
              <w:rPr>
                <w:b/>
                <w:bCs/>
              </w:rPr>
              <w:t xml:space="preserve"> regulates conduct</w:t>
            </w:r>
          </w:p>
        </w:tc>
      </w:tr>
      <w:tr w:rsidR="0055478B" w14:paraId="36D2D0C4" w14:textId="77777777" w:rsidTr="005862F8">
        <w:tc>
          <w:tcPr>
            <w:tcW w:w="2977" w:type="dxa"/>
            <w:vMerge/>
          </w:tcPr>
          <w:p w14:paraId="022C7116" w14:textId="77777777" w:rsidR="0055478B" w:rsidRPr="00A82B1F" w:rsidRDefault="0055478B" w:rsidP="005509A4">
            <w:pPr>
              <w:pStyle w:val="Numbered"/>
              <w:numPr>
                <w:ilvl w:val="0"/>
                <w:numId w:val="0"/>
              </w:numPr>
              <w:spacing w:before="0"/>
              <w:rPr>
                <w:b/>
                <w:bCs/>
              </w:rPr>
            </w:pPr>
          </w:p>
        </w:tc>
        <w:tc>
          <w:tcPr>
            <w:tcW w:w="567" w:type="dxa"/>
          </w:tcPr>
          <w:p w14:paraId="7DFAFC94" w14:textId="77777777" w:rsidR="0055478B" w:rsidRPr="00A82B1F" w:rsidRDefault="0055478B" w:rsidP="005509A4">
            <w:pPr>
              <w:pStyle w:val="Numbered"/>
              <w:numPr>
                <w:ilvl w:val="0"/>
                <w:numId w:val="0"/>
              </w:numPr>
              <w:spacing w:before="0"/>
              <w:rPr>
                <w:sz w:val="20"/>
                <w:szCs w:val="20"/>
              </w:rPr>
            </w:pPr>
            <w:r w:rsidRPr="00A82B1F">
              <w:rPr>
                <w:sz w:val="20"/>
                <w:szCs w:val="20"/>
              </w:rPr>
              <w:t xml:space="preserve">N/A </w:t>
            </w:r>
          </w:p>
        </w:tc>
        <w:tc>
          <w:tcPr>
            <w:tcW w:w="567" w:type="dxa"/>
          </w:tcPr>
          <w:p w14:paraId="20B8C4B0" w14:textId="5619C3FC" w:rsidR="0055478B" w:rsidRPr="00A82B1F" w:rsidRDefault="0055478B" w:rsidP="005509A4">
            <w:pPr>
              <w:pStyle w:val="Numbered"/>
              <w:numPr>
                <w:ilvl w:val="0"/>
                <w:numId w:val="0"/>
              </w:numPr>
              <w:spacing w:before="0"/>
              <w:rPr>
                <w:sz w:val="20"/>
                <w:szCs w:val="20"/>
              </w:rPr>
            </w:pPr>
            <w:r w:rsidRPr="00A82B1F">
              <w:rPr>
                <w:sz w:val="20"/>
                <w:szCs w:val="20"/>
              </w:rPr>
              <w:t xml:space="preserve">Limit </w:t>
            </w:r>
          </w:p>
        </w:tc>
        <w:tc>
          <w:tcPr>
            <w:tcW w:w="851" w:type="dxa"/>
          </w:tcPr>
          <w:p w14:paraId="6B5E5559" w14:textId="1E6AAFB4" w:rsidR="0055478B" w:rsidRPr="00A82B1F" w:rsidRDefault="0055478B" w:rsidP="005509A4">
            <w:pPr>
              <w:pStyle w:val="Numbered"/>
              <w:numPr>
                <w:ilvl w:val="0"/>
                <w:numId w:val="0"/>
              </w:numPr>
              <w:spacing w:before="0"/>
              <w:rPr>
                <w:sz w:val="20"/>
                <w:szCs w:val="20"/>
              </w:rPr>
            </w:pPr>
            <w:r w:rsidRPr="00A82B1F">
              <w:rPr>
                <w:sz w:val="20"/>
                <w:szCs w:val="20"/>
              </w:rPr>
              <w:t>Prohibit</w:t>
            </w:r>
          </w:p>
        </w:tc>
        <w:tc>
          <w:tcPr>
            <w:tcW w:w="4207" w:type="dxa"/>
          </w:tcPr>
          <w:p w14:paraId="1CFD2721" w14:textId="77777777" w:rsidR="0055478B" w:rsidRPr="00A82B1F" w:rsidRDefault="0055478B" w:rsidP="005509A4">
            <w:pPr>
              <w:pStyle w:val="Numbered"/>
              <w:numPr>
                <w:ilvl w:val="0"/>
                <w:numId w:val="0"/>
              </w:numPr>
              <w:spacing w:before="0"/>
              <w:rPr>
                <w:sz w:val="20"/>
                <w:szCs w:val="20"/>
              </w:rPr>
            </w:pPr>
            <w:r w:rsidRPr="00A82B1F">
              <w:rPr>
                <w:sz w:val="20"/>
                <w:szCs w:val="20"/>
              </w:rPr>
              <w:t>Exceptions or conditions</w:t>
            </w:r>
          </w:p>
        </w:tc>
      </w:tr>
      <w:tr w:rsidR="005862F8" w14:paraId="0C59BE54" w14:textId="77777777" w:rsidTr="005862F8">
        <w:tc>
          <w:tcPr>
            <w:tcW w:w="2977" w:type="dxa"/>
          </w:tcPr>
          <w:p w14:paraId="1A24BCDF" w14:textId="77777777" w:rsidR="005862F8" w:rsidRPr="00A82B1F" w:rsidRDefault="005862F8" w:rsidP="005509A4">
            <w:pPr>
              <w:pStyle w:val="Numbered"/>
              <w:numPr>
                <w:ilvl w:val="0"/>
                <w:numId w:val="0"/>
              </w:numPr>
              <w:spacing w:before="0"/>
              <w:rPr>
                <w:sz w:val="20"/>
                <w:szCs w:val="20"/>
              </w:rPr>
            </w:pPr>
            <w:r w:rsidRPr="00A82B1F">
              <w:rPr>
                <w:sz w:val="20"/>
                <w:szCs w:val="20"/>
              </w:rPr>
              <w:t>Payment terms</w:t>
            </w:r>
          </w:p>
        </w:tc>
        <w:tc>
          <w:tcPr>
            <w:tcW w:w="567" w:type="dxa"/>
          </w:tcPr>
          <w:p w14:paraId="0E6E86BD" w14:textId="77777777" w:rsidR="005862F8" w:rsidRPr="00A82B1F" w:rsidRDefault="005862F8" w:rsidP="005509A4">
            <w:pPr>
              <w:pStyle w:val="Numbered"/>
              <w:numPr>
                <w:ilvl w:val="0"/>
                <w:numId w:val="0"/>
              </w:numPr>
              <w:spacing w:before="0"/>
              <w:rPr>
                <w:sz w:val="20"/>
                <w:szCs w:val="20"/>
              </w:rPr>
            </w:pPr>
          </w:p>
        </w:tc>
        <w:tc>
          <w:tcPr>
            <w:tcW w:w="567" w:type="dxa"/>
            <w:shd w:val="clear" w:color="auto" w:fill="FFC399" w:themeFill="accent5" w:themeFillTint="66"/>
          </w:tcPr>
          <w:p w14:paraId="4133BE54" w14:textId="77777777" w:rsidR="005862F8" w:rsidRPr="00A82B1F" w:rsidRDefault="005862F8" w:rsidP="005509A4">
            <w:pPr>
              <w:pStyle w:val="Numbered"/>
              <w:numPr>
                <w:ilvl w:val="0"/>
                <w:numId w:val="0"/>
              </w:numPr>
              <w:spacing w:before="0"/>
              <w:rPr>
                <w:sz w:val="20"/>
                <w:szCs w:val="20"/>
              </w:rPr>
            </w:pPr>
          </w:p>
        </w:tc>
        <w:tc>
          <w:tcPr>
            <w:tcW w:w="851" w:type="dxa"/>
            <w:shd w:val="clear" w:color="auto" w:fill="auto"/>
          </w:tcPr>
          <w:p w14:paraId="791962CC"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5E4EB3EF" w14:textId="21DD4D6C" w:rsidR="005862F8" w:rsidRPr="00C57ED1" w:rsidRDefault="005862F8" w:rsidP="005862F8">
            <w:pPr>
              <w:pStyle w:val="Numbered"/>
              <w:numPr>
                <w:ilvl w:val="0"/>
                <w:numId w:val="0"/>
              </w:numPr>
              <w:spacing w:before="0"/>
              <w:rPr>
                <w:sz w:val="20"/>
                <w:szCs w:val="20"/>
              </w:rPr>
            </w:pPr>
            <w:r w:rsidRPr="005C0157">
              <w:rPr>
                <w:sz w:val="20"/>
                <w:szCs w:val="20"/>
              </w:rPr>
              <w:t>In supply agreement</w:t>
            </w:r>
            <w:r>
              <w:rPr>
                <w:sz w:val="20"/>
                <w:szCs w:val="20"/>
              </w:rPr>
              <w:t xml:space="preserve"> and w</w:t>
            </w:r>
            <w:r w:rsidRPr="005C0157">
              <w:rPr>
                <w:sz w:val="20"/>
                <w:szCs w:val="20"/>
              </w:rPr>
              <w:t>ithin reasonable time</w:t>
            </w:r>
            <w:r>
              <w:rPr>
                <w:sz w:val="20"/>
                <w:szCs w:val="20"/>
              </w:rPr>
              <w:t>.</w:t>
            </w:r>
          </w:p>
        </w:tc>
      </w:tr>
      <w:tr w:rsidR="005862F8" w14:paraId="2AC4AE8F" w14:textId="77777777" w:rsidTr="005862F8">
        <w:tc>
          <w:tcPr>
            <w:tcW w:w="2977" w:type="dxa"/>
          </w:tcPr>
          <w:p w14:paraId="6CBD74DF" w14:textId="77777777" w:rsidR="005862F8" w:rsidRPr="00A82B1F" w:rsidRDefault="005862F8" w:rsidP="005509A4">
            <w:pPr>
              <w:pStyle w:val="Numbered"/>
              <w:numPr>
                <w:ilvl w:val="0"/>
                <w:numId w:val="0"/>
              </w:numPr>
              <w:spacing w:before="0"/>
              <w:rPr>
                <w:sz w:val="20"/>
                <w:szCs w:val="20"/>
              </w:rPr>
            </w:pPr>
            <w:r w:rsidRPr="00A82B1F">
              <w:rPr>
                <w:sz w:val="20"/>
                <w:szCs w:val="20"/>
              </w:rPr>
              <w:t xml:space="preserve">Set offs </w:t>
            </w:r>
          </w:p>
        </w:tc>
        <w:tc>
          <w:tcPr>
            <w:tcW w:w="567" w:type="dxa"/>
            <w:shd w:val="clear" w:color="auto" w:fill="FFC399" w:themeFill="accent5" w:themeFillTint="66"/>
          </w:tcPr>
          <w:p w14:paraId="3B397630"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2677EDED" w14:textId="77777777" w:rsidR="005862F8" w:rsidRPr="00A82B1F" w:rsidRDefault="005862F8" w:rsidP="005509A4">
            <w:pPr>
              <w:pStyle w:val="Numbered"/>
              <w:numPr>
                <w:ilvl w:val="0"/>
                <w:numId w:val="0"/>
              </w:numPr>
              <w:spacing w:before="0"/>
              <w:rPr>
                <w:sz w:val="20"/>
                <w:szCs w:val="20"/>
              </w:rPr>
            </w:pPr>
          </w:p>
        </w:tc>
        <w:tc>
          <w:tcPr>
            <w:tcW w:w="851" w:type="dxa"/>
            <w:shd w:val="clear" w:color="auto" w:fill="auto"/>
          </w:tcPr>
          <w:p w14:paraId="61EF5272" w14:textId="77777777" w:rsidR="005862F8" w:rsidRPr="00A82B1F" w:rsidRDefault="005862F8" w:rsidP="005509A4">
            <w:pPr>
              <w:pStyle w:val="Numbered"/>
              <w:numPr>
                <w:ilvl w:val="0"/>
                <w:numId w:val="0"/>
              </w:numPr>
              <w:spacing w:before="0"/>
              <w:rPr>
                <w:sz w:val="20"/>
                <w:szCs w:val="20"/>
              </w:rPr>
            </w:pPr>
          </w:p>
        </w:tc>
        <w:tc>
          <w:tcPr>
            <w:tcW w:w="4207" w:type="dxa"/>
            <w:shd w:val="clear" w:color="auto" w:fill="auto"/>
          </w:tcPr>
          <w:p w14:paraId="353AC5D8" w14:textId="77777777" w:rsidR="005862F8" w:rsidRPr="00C57ED1" w:rsidRDefault="005862F8" w:rsidP="005509A4">
            <w:pPr>
              <w:pStyle w:val="Numbered"/>
              <w:numPr>
                <w:ilvl w:val="0"/>
                <w:numId w:val="0"/>
              </w:numPr>
              <w:spacing w:before="0"/>
              <w:rPr>
                <w:sz w:val="20"/>
                <w:szCs w:val="20"/>
              </w:rPr>
            </w:pPr>
          </w:p>
        </w:tc>
      </w:tr>
      <w:tr w:rsidR="005862F8" w14:paraId="1464C01F" w14:textId="77777777" w:rsidTr="005862F8">
        <w:tc>
          <w:tcPr>
            <w:tcW w:w="2977" w:type="dxa"/>
          </w:tcPr>
          <w:p w14:paraId="27B543F0" w14:textId="77777777" w:rsidR="005862F8" w:rsidRPr="00A82B1F" w:rsidRDefault="005862F8" w:rsidP="005509A4">
            <w:pPr>
              <w:pStyle w:val="Numbered"/>
              <w:numPr>
                <w:ilvl w:val="0"/>
                <w:numId w:val="0"/>
              </w:numPr>
              <w:spacing w:before="0"/>
              <w:rPr>
                <w:sz w:val="20"/>
                <w:szCs w:val="20"/>
              </w:rPr>
            </w:pPr>
            <w:r w:rsidRPr="00A82B1F">
              <w:rPr>
                <w:sz w:val="20"/>
                <w:szCs w:val="20"/>
              </w:rPr>
              <w:t xml:space="preserve">Price increases </w:t>
            </w:r>
          </w:p>
        </w:tc>
        <w:tc>
          <w:tcPr>
            <w:tcW w:w="567" w:type="dxa"/>
            <w:shd w:val="clear" w:color="auto" w:fill="FFC399" w:themeFill="accent5" w:themeFillTint="66"/>
          </w:tcPr>
          <w:p w14:paraId="6FFC09C1"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330F1A77" w14:textId="77777777" w:rsidR="005862F8" w:rsidRPr="00A82B1F" w:rsidRDefault="005862F8" w:rsidP="005509A4">
            <w:pPr>
              <w:pStyle w:val="Numbered"/>
              <w:numPr>
                <w:ilvl w:val="0"/>
                <w:numId w:val="0"/>
              </w:numPr>
              <w:spacing w:before="0"/>
              <w:rPr>
                <w:sz w:val="20"/>
                <w:szCs w:val="20"/>
              </w:rPr>
            </w:pPr>
          </w:p>
        </w:tc>
        <w:tc>
          <w:tcPr>
            <w:tcW w:w="851" w:type="dxa"/>
            <w:shd w:val="clear" w:color="auto" w:fill="auto"/>
          </w:tcPr>
          <w:p w14:paraId="657709B1" w14:textId="77777777" w:rsidR="005862F8" w:rsidRPr="00A82B1F" w:rsidRDefault="005862F8" w:rsidP="005509A4">
            <w:pPr>
              <w:pStyle w:val="Numbered"/>
              <w:numPr>
                <w:ilvl w:val="0"/>
                <w:numId w:val="0"/>
              </w:numPr>
              <w:spacing w:before="0"/>
              <w:rPr>
                <w:sz w:val="20"/>
                <w:szCs w:val="20"/>
              </w:rPr>
            </w:pPr>
          </w:p>
        </w:tc>
        <w:tc>
          <w:tcPr>
            <w:tcW w:w="4207" w:type="dxa"/>
            <w:shd w:val="clear" w:color="auto" w:fill="auto"/>
          </w:tcPr>
          <w:p w14:paraId="22BBA990" w14:textId="77777777" w:rsidR="005862F8" w:rsidRPr="00C57ED1" w:rsidRDefault="005862F8" w:rsidP="005509A4">
            <w:pPr>
              <w:pStyle w:val="Numbered"/>
              <w:numPr>
                <w:ilvl w:val="0"/>
                <w:numId w:val="0"/>
              </w:numPr>
              <w:spacing w:before="0"/>
              <w:rPr>
                <w:sz w:val="20"/>
                <w:szCs w:val="20"/>
              </w:rPr>
            </w:pPr>
          </w:p>
        </w:tc>
      </w:tr>
      <w:tr w:rsidR="005862F8" w14:paraId="02F1CD83" w14:textId="77777777" w:rsidTr="005862F8">
        <w:trPr>
          <w:trHeight w:val="167"/>
        </w:trPr>
        <w:tc>
          <w:tcPr>
            <w:tcW w:w="2977" w:type="dxa"/>
          </w:tcPr>
          <w:p w14:paraId="2C1E1145" w14:textId="77777777" w:rsidR="005862F8" w:rsidRPr="00A82B1F" w:rsidRDefault="005862F8" w:rsidP="005509A4">
            <w:pPr>
              <w:pStyle w:val="Numbered"/>
              <w:numPr>
                <w:ilvl w:val="0"/>
                <w:numId w:val="0"/>
              </w:numPr>
              <w:spacing w:before="0"/>
              <w:rPr>
                <w:sz w:val="20"/>
                <w:szCs w:val="20"/>
              </w:rPr>
            </w:pPr>
            <w:r w:rsidRPr="00A82B1F">
              <w:rPr>
                <w:sz w:val="20"/>
                <w:szCs w:val="20"/>
              </w:rPr>
              <w:t>Shrinkage</w:t>
            </w:r>
          </w:p>
        </w:tc>
        <w:tc>
          <w:tcPr>
            <w:tcW w:w="567" w:type="dxa"/>
          </w:tcPr>
          <w:p w14:paraId="18893FF0"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646692AE"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4E161BC4" w14:textId="77777777" w:rsidR="005862F8" w:rsidRPr="00A82B1F" w:rsidRDefault="005862F8" w:rsidP="005509A4">
            <w:pPr>
              <w:pStyle w:val="Numbered"/>
              <w:numPr>
                <w:ilvl w:val="0"/>
                <w:numId w:val="0"/>
              </w:numPr>
              <w:spacing w:before="0"/>
              <w:rPr>
                <w:sz w:val="20"/>
                <w:szCs w:val="20"/>
              </w:rPr>
            </w:pPr>
          </w:p>
        </w:tc>
        <w:tc>
          <w:tcPr>
            <w:tcW w:w="4207" w:type="dxa"/>
            <w:shd w:val="clear" w:color="auto" w:fill="auto"/>
          </w:tcPr>
          <w:p w14:paraId="41340006" w14:textId="77777777" w:rsidR="005862F8" w:rsidRPr="00C57ED1" w:rsidRDefault="005862F8" w:rsidP="005509A4">
            <w:pPr>
              <w:pStyle w:val="Numbered"/>
              <w:numPr>
                <w:ilvl w:val="0"/>
                <w:numId w:val="0"/>
              </w:numPr>
              <w:spacing w:before="0"/>
              <w:rPr>
                <w:sz w:val="20"/>
                <w:szCs w:val="20"/>
              </w:rPr>
            </w:pPr>
          </w:p>
        </w:tc>
      </w:tr>
      <w:tr w:rsidR="005862F8" w14:paraId="3B713521" w14:textId="77777777" w:rsidTr="005862F8">
        <w:trPr>
          <w:trHeight w:val="56"/>
        </w:trPr>
        <w:tc>
          <w:tcPr>
            <w:tcW w:w="2977" w:type="dxa"/>
          </w:tcPr>
          <w:p w14:paraId="06A57620" w14:textId="77777777" w:rsidR="005862F8" w:rsidRPr="00A82B1F" w:rsidRDefault="005862F8" w:rsidP="005509A4">
            <w:pPr>
              <w:pStyle w:val="Numbered"/>
              <w:numPr>
                <w:ilvl w:val="0"/>
                <w:numId w:val="0"/>
              </w:numPr>
              <w:spacing w:before="0"/>
              <w:rPr>
                <w:sz w:val="20"/>
                <w:szCs w:val="20"/>
              </w:rPr>
            </w:pPr>
            <w:r w:rsidRPr="00A82B1F">
              <w:rPr>
                <w:sz w:val="20"/>
                <w:szCs w:val="20"/>
              </w:rPr>
              <w:t>Wastage</w:t>
            </w:r>
          </w:p>
        </w:tc>
        <w:tc>
          <w:tcPr>
            <w:tcW w:w="567" w:type="dxa"/>
            <w:shd w:val="clear" w:color="auto" w:fill="auto"/>
          </w:tcPr>
          <w:p w14:paraId="14B15F34"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739DFC7E"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0EEC6D3B"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1F2722DD" w14:textId="2D0B616A" w:rsidR="005862F8" w:rsidRPr="00C57ED1" w:rsidRDefault="005862F8" w:rsidP="005509A4">
            <w:pPr>
              <w:pStyle w:val="Numbered"/>
              <w:numPr>
                <w:ilvl w:val="0"/>
                <w:numId w:val="0"/>
              </w:numPr>
              <w:spacing w:before="0"/>
              <w:rPr>
                <w:sz w:val="20"/>
                <w:szCs w:val="20"/>
              </w:rPr>
            </w:pPr>
            <w:r w:rsidRPr="005C0157">
              <w:rPr>
                <w:sz w:val="20"/>
                <w:szCs w:val="20"/>
              </w:rPr>
              <w:t>In supply agreement (</w:t>
            </w:r>
            <w:r w:rsidR="00243DE8">
              <w:rPr>
                <w:sz w:val="20"/>
                <w:szCs w:val="20"/>
              </w:rPr>
              <w:t>d</w:t>
            </w:r>
            <w:r w:rsidRPr="005C0157">
              <w:rPr>
                <w:sz w:val="20"/>
                <w:szCs w:val="20"/>
              </w:rPr>
              <w:t>etailed)</w:t>
            </w:r>
            <w:r>
              <w:rPr>
                <w:sz w:val="20"/>
                <w:szCs w:val="20"/>
              </w:rPr>
              <w:t>.</w:t>
            </w:r>
          </w:p>
        </w:tc>
      </w:tr>
      <w:tr w:rsidR="005862F8" w14:paraId="627D4FD0" w14:textId="77777777" w:rsidTr="005862F8">
        <w:trPr>
          <w:trHeight w:val="61"/>
        </w:trPr>
        <w:tc>
          <w:tcPr>
            <w:tcW w:w="2977" w:type="dxa"/>
          </w:tcPr>
          <w:p w14:paraId="5CDD9450" w14:textId="77777777" w:rsidR="005862F8" w:rsidRPr="00A82B1F" w:rsidRDefault="005862F8" w:rsidP="005509A4">
            <w:pPr>
              <w:pStyle w:val="Numbered"/>
              <w:numPr>
                <w:ilvl w:val="0"/>
                <w:numId w:val="0"/>
              </w:numPr>
              <w:spacing w:before="0"/>
              <w:rPr>
                <w:sz w:val="20"/>
                <w:szCs w:val="20"/>
              </w:rPr>
            </w:pPr>
            <w:r w:rsidRPr="00A82B1F">
              <w:rPr>
                <w:sz w:val="20"/>
                <w:szCs w:val="20"/>
              </w:rPr>
              <w:t>Marketing costs</w:t>
            </w:r>
          </w:p>
        </w:tc>
        <w:tc>
          <w:tcPr>
            <w:tcW w:w="567" w:type="dxa"/>
            <w:shd w:val="clear" w:color="auto" w:fill="auto"/>
          </w:tcPr>
          <w:p w14:paraId="3B8F97C2"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0EBDB27D"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1E75240D"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0EF4DADF" w14:textId="4F9D2AEF" w:rsidR="005862F8" w:rsidRPr="00C57ED1" w:rsidRDefault="005862F8" w:rsidP="005509A4">
            <w:pPr>
              <w:pStyle w:val="Numbered"/>
              <w:numPr>
                <w:ilvl w:val="0"/>
                <w:numId w:val="0"/>
              </w:numPr>
              <w:spacing w:before="0"/>
              <w:rPr>
                <w:sz w:val="20"/>
                <w:szCs w:val="20"/>
              </w:rPr>
            </w:pPr>
            <w:r w:rsidRPr="005C0157">
              <w:rPr>
                <w:sz w:val="20"/>
                <w:szCs w:val="20"/>
              </w:rPr>
              <w:t>In supply agreement</w:t>
            </w:r>
            <w:r>
              <w:rPr>
                <w:sz w:val="20"/>
                <w:szCs w:val="20"/>
              </w:rPr>
              <w:t>.</w:t>
            </w:r>
          </w:p>
        </w:tc>
      </w:tr>
      <w:tr w:rsidR="005862F8" w14:paraId="3A01465A" w14:textId="77777777" w:rsidTr="005862F8">
        <w:trPr>
          <w:trHeight w:val="66"/>
        </w:trPr>
        <w:tc>
          <w:tcPr>
            <w:tcW w:w="2977" w:type="dxa"/>
          </w:tcPr>
          <w:p w14:paraId="4C6E4F01" w14:textId="77777777" w:rsidR="005862F8" w:rsidRPr="00A82B1F" w:rsidRDefault="005862F8" w:rsidP="005509A4">
            <w:pPr>
              <w:pStyle w:val="Numbered"/>
              <w:numPr>
                <w:ilvl w:val="0"/>
                <w:numId w:val="0"/>
              </w:numPr>
              <w:spacing w:before="0"/>
              <w:rPr>
                <w:sz w:val="20"/>
                <w:szCs w:val="20"/>
              </w:rPr>
            </w:pPr>
            <w:r w:rsidRPr="00A82B1F">
              <w:rPr>
                <w:sz w:val="20"/>
                <w:szCs w:val="20"/>
              </w:rPr>
              <w:t>Product placement</w:t>
            </w:r>
          </w:p>
        </w:tc>
        <w:tc>
          <w:tcPr>
            <w:tcW w:w="567" w:type="dxa"/>
            <w:shd w:val="clear" w:color="auto" w:fill="auto"/>
          </w:tcPr>
          <w:p w14:paraId="3ED9A438"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3E7DBD6E"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78D8EA91"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34ABB310" w14:textId="5B84F581" w:rsidR="005862F8" w:rsidRPr="00C57ED1" w:rsidRDefault="005862F8" w:rsidP="005509A4">
            <w:pPr>
              <w:pStyle w:val="Numbered"/>
              <w:numPr>
                <w:ilvl w:val="0"/>
                <w:numId w:val="0"/>
              </w:numPr>
              <w:spacing w:before="0"/>
              <w:rPr>
                <w:sz w:val="20"/>
                <w:szCs w:val="20"/>
              </w:rPr>
            </w:pPr>
            <w:r w:rsidRPr="005C0157">
              <w:rPr>
                <w:sz w:val="20"/>
                <w:szCs w:val="20"/>
              </w:rPr>
              <w:t>For promotions</w:t>
            </w:r>
            <w:r>
              <w:rPr>
                <w:sz w:val="20"/>
                <w:szCs w:val="20"/>
              </w:rPr>
              <w:t>.</w:t>
            </w:r>
          </w:p>
        </w:tc>
      </w:tr>
      <w:tr w:rsidR="005862F8" w14:paraId="5560384D" w14:textId="77777777" w:rsidTr="005862F8">
        <w:trPr>
          <w:trHeight w:val="276"/>
        </w:trPr>
        <w:tc>
          <w:tcPr>
            <w:tcW w:w="2977" w:type="dxa"/>
          </w:tcPr>
          <w:p w14:paraId="127DA96F" w14:textId="522C17E7" w:rsidR="005862F8" w:rsidRPr="00A82B1F" w:rsidRDefault="005862F8" w:rsidP="005509A4">
            <w:pPr>
              <w:pStyle w:val="Numbered"/>
              <w:numPr>
                <w:ilvl w:val="0"/>
                <w:numId w:val="0"/>
              </w:numPr>
              <w:spacing w:before="0"/>
              <w:rPr>
                <w:sz w:val="20"/>
                <w:szCs w:val="20"/>
              </w:rPr>
            </w:pPr>
            <w:r w:rsidRPr="00A82B1F">
              <w:rPr>
                <w:sz w:val="20"/>
                <w:szCs w:val="20"/>
              </w:rPr>
              <w:t>Payments as condition of supply</w:t>
            </w:r>
          </w:p>
        </w:tc>
        <w:tc>
          <w:tcPr>
            <w:tcW w:w="567" w:type="dxa"/>
            <w:shd w:val="clear" w:color="auto" w:fill="auto"/>
          </w:tcPr>
          <w:p w14:paraId="79D9D40C"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34A8D090"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4B55F60F"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3BCD7DCF" w14:textId="16CB382C" w:rsidR="005862F8" w:rsidRPr="00C57ED1" w:rsidRDefault="005862F8" w:rsidP="005509A4">
            <w:pPr>
              <w:pStyle w:val="Numbered"/>
              <w:numPr>
                <w:ilvl w:val="0"/>
                <w:numId w:val="0"/>
              </w:numPr>
              <w:spacing w:before="0"/>
              <w:rPr>
                <w:sz w:val="20"/>
                <w:szCs w:val="20"/>
              </w:rPr>
            </w:pPr>
            <w:r w:rsidRPr="005C0157">
              <w:rPr>
                <w:sz w:val="20"/>
                <w:szCs w:val="20"/>
              </w:rPr>
              <w:t>For promotions or new product</w:t>
            </w:r>
            <w:r>
              <w:rPr>
                <w:sz w:val="20"/>
                <w:szCs w:val="20"/>
              </w:rPr>
              <w:t>.</w:t>
            </w:r>
          </w:p>
        </w:tc>
      </w:tr>
      <w:tr w:rsidR="005862F8" w14:paraId="23CDF2C8" w14:textId="77777777" w:rsidTr="005862F8">
        <w:trPr>
          <w:trHeight w:val="56"/>
        </w:trPr>
        <w:tc>
          <w:tcPr>
            <w:tcW w:w="2977" w:type="dxa"/>
          </w:tcPr>
          <w:p w14:paraId="6F4FA1AF" w14:textId="77777777" w:rsidR="005862F8" w:rsidRPr="00A82B1F" w:rsidRDefault="005862F8" w:rsidP="005509A4">
            <w:pPr>
              <w:pStyle w:val="Numbered"/>
              <w:numPr>
                <w:ilvl w:val="0"/>
                <w:numId w:val="0"/>
              </w:numPr>
              <w:spacing w:before="0"/>
              <w:rPr>
                <w:sz w:val="20"/>
                <w:szCs w:val="20"/>
              </w:rPr>
            </w:pPr>
            <w:r w:rsidRPr="00A82B1F">
              <w:rPr>
                <w:sz w:val="20"/>
                <w:szCs w:val="20"/>
              </w:rPr>
              <w:t>Promotional payments</w:t>
            </w:r>
          </w:p>
        </w:tc>
        <w:tc>
          <w:tcPr>
            <w:tcW w:w="567" w:type="dxa"/>
            <w:shd w:val="clear" w:color="auto" w:fill="auto"/>
          </w:tcPr>
          <w:p w14:paraId="5CFAA937"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173A7987"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3954DBA7"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077B6492" w14:textId="0D36AF74" w:rsidR="005862F8" w:rsidRPr="00C57ED1" w:rsidRDefault="005862F8" w:rsidP="005509A4">
            <w:pPr>
              <w:pStyle w:val="Numbered"/>
              <w:numPr>
                <w:ilvl w:val="0"/>
                <w:numId w:val="0"/>
              </w:numPr>
              <w:spacing w:before="0"/>
              <w:rPr>
                <w:sz w:val="20"/>
                <w:szCs w:val="20"/>
              </w:rPr>
            </w:pPr>
            <w:r w:rsidRPr="005C0157">
              <w:rPr>
                <w:sz w:val="20"/>
                <w:szCs w:val="20"/>
              </w:rPr>
              <w:t>Reasonable notice</w:t>
            </w:r>
            <w:r>
              <w:rPr>
                <w:sz w:val="20"/>
                <w:szCs w:val="20"/>
              </w:rPr>
              <w:t>.</w:t>
            </w:r>
          </w:p>
        </w:tc>
      </w:tr>
      <w:tr w:rsidR="005862F8" w14:paraId="789AC3A1" w14:textId="77777777" w:rsidTr="005862F8">
        <w:trPr>
          <w:trHeight w:val="56"/>
        </w:trPr>
        <w:tc>
          <w:tcPr>
            <w:tcW w:w="2977" w:type="dxa"/>
          </w:tcPr>
          <w:p w14:paraId="09543B8A" w14:textId="77777777" w:rsidR="005862F8" w:rsidRPr="00A82B1F" w:rsidRDefault="005862F8" w:rsidP="005509A4">
            <w:pPr>
              <w:pStyle w:val="Numbered"/>
              <w:numPr>
                <w:ilvl w:val="0"/>
                <w:numId w:val="0"/>
              </w:numPr>
              <w:spacing w:before="0"/>
              <w:rPr>
                <w:sz w:val="20"/>
                <w:szCs w:val="20"/>
              </w:rPr>
            </w:pPr>
            <w:r w:rsidRPr="00A82B1F">
              <w:rPr>
                <w:sz w:val="20"/>
                <w:szCs w:val="20"/>
              </w:rPr>
              <w:t>Promotional buying</w:t>
            </w:r>
          </w:p>
        </w:tc>
        <w:tc>
          <w:tcPr>
            <w:tcW w:w="567" w:type="dxa"/>
            <w:shd w:val="clear" w:color="auto" w:fill="auto"/>
          </w:tcPr>
          <w:p w14:paraId="7F7CD1F4" w14:textId="77777777" w:rsidR="005862F8" w:rsidRPr="00A82B1F" w:rsidRDefault="005862F8" w:rsidP="005509A4">
            <w:pPr>
              <w:pStyle w:val="Numbered"/>
              <w:numPr>
                <w:ilvl w:val="0"/>
                <w:numId w:val="0"/>
              </w:numPr>
              <w:spacing w:before="0"/>
              <w:rPr>
                <w:sz w:val="20"/>
                <w:szCs w:val="20"/>
              </w:rPr>
            </w:pPr>
          </w:p>
        </w:tc>
        <w:tc>
          <w:tcPr>
            <w:tcW w:w="567" w:type="dxa"/>
            <w:shd w:val="clear" w:color="auto" w:fill="FFC399" w:themeFill="accent5" w:themeFillTint="66"/>
          </w:tcPr>
          <w:p w14:paraId="728F8003" w14:textId="77777777" w:rsidR="005862F8" w:rsidRPr="00A82B1F" w:rsidRDefault="005862F8" w:rsidP="005509A4">
            <w:pPr>
              <w:pStyle w:val="Numbered"/>
              <w:numPr>
                <w:ilvl w:val="0"/>
                <w:numId w:val="0"/>
              </w:numPr>
              <w:spacing w:before="0"/>
              <w:rPr>
                <w:sz w:val="20"/>
                <w:szCs w:val="20"/>
              </w:rPr>
            </w:pPr>
          </w:p>
        </w:tc>
        <w:tc>
          <w:tcPr>
            <w:tcW w:w="851" w:type="dxa"/>
            <w:shd w:val="clear" w:color="auto" w:fill="auto"/>
          </w:tcPr>
          <w:p w14:paraId="062EF565"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65FB6691" w14:textId="1D3C8C0B" w:rsidR="005862F8" w:rsidRPr="00C57ED1" w:rsidRDefault="005862F8" w:rsidP="00243DE8">
            <w:pPr>
              <w:pStyle w:val="Numbered"/>
              <w:numPr>
                <w:ilvl w:val="0"/>
                <w:numId w:val="0"/>
              </w:numPr>
              <w:spacing w:before="0"/>
              <w:rPr>
                <w:sz w:val="20"/>
                <w:szCs w:val="20"/>
              </w:rPr>
            </w:pPr>
            <w:r w:rsidRPr="005C0157">
              <w:rPr>
                <w:sz w:val="20"/>
                <w:szCs w:val="20"/>
              </w:rPr>
              <w:t>Care to be taken</w:t>
            </w:r>
            <w:r w:rsidR="00243DE8">
              <w:rPr>
                <w:sz w:val="20"/>
                <w:szCs w:val="20"/>
              </w:rPr>
              <w:t xml:space="preserve"> and compensation provisions</w:t>
            </w:r>
            <w:r>
              <w:rPr>
                <w:sz w:val="20"/>
                <w:szCs w:val="20"/>
              </w:rPr>
              <w:t>.</w:t>
            </w:r>
          </w:p>
        </w:tc>
      </w:tr>
    </w:tbl>
    <w:p w14:paraId="726A42AB" w14:textId="77777777" w:rsidR="004B0399" w:rsidRPr="00203377" w:rsidRDefault="004B0399" w:rsidP="00243DE8">
      <w:pPr>
        <w:spacing w:after="0"/>
      </w:pPr>
    </w:p>
    <w:tbl>
      <w:tblPr>
        <w:tblStyle w:val="TableGrid"/>
        <w:tblW w:w="9169" w:type="dxa"/>
        <w:tblInd w:w="-5" w:type="dxa"/>
        <w:tblLayout w:type="fixed"/>
        <w:tblCellMar>
          <w:left w:w="57" w:type="dxa"/>
          <w:right w:w="57" w:type="dxa"/>
        </w:tblCellMar>
        <w:tblLook w:val="04A0" w:firstRow="1" w:lastRow="0" w:firstColumn="1" w:lastColumn="0" w:noHBand="0" w:noVBand="1"/>
      </w:tblPr>
      <w:tblGrid>
        <w:gridCol w:w="2977"/>
        <w:gridCol w:w="567"/>
        <w:gridCol w:w="567"/>
        <w:gridCol w:w="851"/>
        <w:gridCol w:w="4207"/>
      </w:tblGrid>
      <w:tr w:rsidR="0055478B" w14:paraId="13ECBF31" w14:textId="77777777" w:rsidTr="00243DE8">
        <w:tc>
          <w:tcPr>
            <w:tcW w:w="2977" w:type="dxa"/>
            <w:vMerge w:val="restart"/>
          </w:tcPr>
          <w:p w14:paraId="3229F1B6" w14:textId="263DDDC4" w:rsidR="0055478B" w:rsidRPr="00B17335" w:rsidRDefault="0055478B" w:rsidP="005509A4">
            <w:pPr>
              <w:pStyle w:val="Numbered"/>
              <w:numPr>
                <w:ilvl w:val="0"/>
                <w:numId w:val="0"/>
              </w:numPr>
              <w:spacing w:before="0"/>
              <w:rPr>
                <w:b/>
                <w:bCs/>
                <w:sz w:val="20"/>
                <w:szCs w:val="20"/>
              </w:rPr>
            </w:pPr>
            <w:r w:rsidRPr="00B17335">
              <w:rPr>
                <w:b/>
                <w:bCs/>
                <w:sz w:val="20"/>
                <w:szCs w:val="20"/>
              </w:rPr>
              <w:t xml:space="preserve">Option 2 </w:t>
            </w:r>
            <w:r w:rsidR="00D3390A" w:rsidRPr="00D3390A">
              <w:rPr>
                <w:b/>
                <w:bCs/>
                <w:sz w:val="20"/>
                <w:szCs w:val="20"/>
              </w:rPr>
              <w:t>Prescriptive Code</w:t>
            </w:r>
          </w:p>
        </w:tc>
        <w:tc>
          <w:tcPr>
            <w:tcW w:w="6192" w:type="dxa"/>
            <w:gridSpan w:val="4"/>
            <w:vAlign w:val="center"/>
          </w:tcPr>
          <w:p w14:paraId="0E2A9D99" w14:textId="68DBF6D2" w:rsidR="0055478B" w:rsidRPr="00A82B1F" w:rsidRDefault="008E27CD" w:rsidP="005509A4">
            <w:pPr>
              <w:pStyle w:val="Numbered"/>
              <w:numPr>
                <w:ilvl w:val="0"/>
                <w:numId w:val="0"/>
              </w:numPr>
              <w:spacing w:before="0"/>
              <w:jc w:val="center"/>
              <w:rPr>
                <w:b/>
                <w:bCs/>
              </w:rPr>
            </w:pPr>
            <w:r w:rsidRPr="00A82B1F">
              <w:rPr>
                <w:b/>
                <w:bCs/>
              </w:rPr>
              <w:t xml:space="preserve">How the </w:t>
            </w:r>
            <w:r>
              <w:rPr>
                <w:b/>
                <w:bCs/>
              </w:rPr>
              <w:t>option</w:t>
            </w:r>
            <w:r w:rsidRPr="00A82B1F">
              <w:rPr>
                <w:b/>
                <w:bCs/>
              </w:rPr>
              <w:t xml:space="preserve"> regulates conduct</w:t>
            </w:r>
          </w:p>
        </w:tc>
      </w:tr>
      <w:tr w:rsidR="0055478B" w14:paraId="4E0ECF78" w14:textId="77777777" w:rsidTr="00243DE8">
        <w:trPr>
          <w:trHeight w:val="245"/>
        </w:trPr>
        <w:tc>
          <w:tcPr>
            <w:tcW w:w="2977" w:type="dxa"/>
            <w:vMerge/>
          </w:tcPr>
          <w:p w14:paraId="7C6F6EA6" w14:textId="77777777" w:rsidR="0055478B" w:rsidRPr="00A82B1F" w:rsidRDefault="0055478B" w:rsidP="005509A4">
            <w:pPr>
              <w:pStyle w:val="Numbered"/>
              <w:numPr>
                <w:ilvl w:val="0"/>
                <w:numId w:val="0"/>
              </w:numPr>
              <w:spacing w:before="0"/>
              <w:rPr>
                <w:b/>
                <w:bCs/>
              </w:rPr>
            </w:pPr>
          </w:p>
        </w:tc>
        <w:tc>
          <w:tcPr>
            <w:tcW w:w="567" w:type="dxa"/>
          </w:tcPr>
          <w:p w14:paraId="59F4CAD1" w14:textId="77777777" w:rsidR="0055478B" w:rsidRPr="00A82B1F" w:rsidRDefault="0055478B" w:rsidP="005509A4">
            <w:pPr>
              <w:pStyle w:val="Numbered"/>
              <w:numPr>
                <w:ilvl w:val="0"/>
                <w:numId w:val="0"/>
              </w:numPr>
              <w:spacing w:before="0"/>
              <w:rPr>
                <w:sz w:val="20"/>
                <w:szCs w:val="20"/>
              </w:rPr>
            </w:pPr>
            <w:r w:rsidRPr="00A82B1F">
              <w:rPr>
                <w:sz w:val="20"/>
                <w:szCs w:val="20"/>
              </w:rPr>
              <w:t xml:space="preserve">N/A </w:t>
            </w:r>
          </w:p>
        </w:tc>
        <w:tc>
          <w:tcPr>
            <w:tcW w:w="567" w:type="dxa"/>
          </w:tcPr>
          <w:p w14:paraId="1F159F27" w14:textId="16998556" w:rsidR="0055478B" w:rsidRPr="00A82B1F" w:rsidRDefault="0055478B" w:rsidP="005509A4">
            <w:pPr>
              <w:pStyle w:val="Numbered"/>
              <w:numPr>
                <w:ilvl w:val="0"/>
                <w:numId w:val="0"/>
              </w:numPr>
              <w:spacing w:before="0"/>
              <w:rPr>
                <w:sz w:val="20"/>
                <w:szCs w:val="20"/>
              </w:rPr>
            </w:pPr>
            <w:r w:rsidRPr="00A82B1F">
              <w:rPr>
                <w:sz w:val="20"/>
                <w:szCs w:val="20"/>
              </w:rPr>
              <w:t xml:space="preserve">Limit </w:t>
            </w:r>
          </w:p>
        </w:tc>
        <w:tc>
          <w:tcPr>
            <w:tcW w:w="851" w:type="dxa"/>
          </w:tcPr>
          <w:p w14:paraId="1B874BE0" w14:textId="0F52DC74" w:rsidR="0055478B" w:rsidRPr="00A82B1F" w:rsidRDefault="0055478B" w:rsidP="005509A4">
            <w:pPr>
              <w:pStyle w:val="Numbered"/>
              <w:numPr>
                <w:ilvl w:val="0"/>
                <w:numId w:val="0"/>
              </w:numPr>
              <w:spacing w:before="0"/>
              <w:rPr>
                <w:sz w:val="20"/>
                <w:szCs w:val="20"/>
              </w:rPr>
            </w:pPr>
            <w:r w:rsidRPr="00A82B1F">
              <w:rPr>
                <w:sz w:val="20"/>
                <w:szCs w:val="20"/>
              </w:rPr>
              <w:t>Prohibit</w:t>
            </w:r>
          </w:p>
        </w:tc>
        <w:tc>
          <w:tcPr>
            <w:tcW w:w="4207" w:type="dxa"/>
          </w:tcPr>
          <w:p w14:paraId="30768666" w14:textId="77777777" w:rsidR="0055478B" w:rsidRPr="00A82B1F" w:rsidRDefault="0055478B" w:rsidP="005509A4">
            <w:pPr>
              <w:pStyle w:val="Numbered"/>
              <w:numPr>
                <w:ilvl w:val="0"/>
                <w:numId w:val="0"/>
              </w:numPr>
              <w:spacing w:before="0"/>
              <w:rPr>
                <w:sz w:val="20"/>
                <w:szCs w:val="20"/>
              </w:rPr>
            </w:pPr>
            <w:r w:rsidRPr="00A82B1F">
              <w:rPr>
                <w:sz w:val="20"/>
                <w:szCs w:val="20"/>
              </w:rPr>
              <w:t>Exceptions or conditions</w:t>
            </w:r>
          </w:p>
        </w:tc>
      </w:tr>
      <w:tr w:rsidR="00243DE8" w14:paraId="11554E4A" w14:textId="77777777" w:rsidTr="00243DE8">
        <w:tc>
          <w:tcPr>
            <w:tcW w:w="2977" w:type="dxa"/>
          </w:tcPr>
          <w:p w14:paraId="3450C5C1" w14:textId="77777777" w:rsidR="00243DE8" w:rsidRPr="00A82B1F" w:rsidRDefault="00243DE8" w:rsidP="00243DE8">
            <w:pPr>
              <w:pStyle w:val="Numbered"/>
              <w:numPr>
                <w:ilvl w:val="0"/>
                <w:numId w:val="0"/>
              </w:numPr>
              <w:spacing w:before="0"/>
              <w:rPr>
                <w:sz w:val="20"/>
                <w:szCs w:val="20"/>
              </w:rPr>
            </w:pPr>
            <w:r w:rsidRPr="00A82B1F">
              <w:rPr>
                <w:sz w:val="20"/>
                <w:szCs w:val="20"/>
              </w:rPr>
              <w:t>Payment terms</w:t>
            </w:r>
          </w:p>
        </w:tc>
        <w:tc>
          <w:tcPr>
            <w:tcW w:w="567" w:type="dxa"/>
            <w:shd w:val="clear" w:color="auto" w:fill="auto"/>
          </w:tcPr>
          <w:p w14:paraId="19BF4439" w14:textId="77777777" w:rsidR="00243DE8" w:rsidRPr="00A82B1F" w:rsidRDefault="00243DE8" w:rsidP="00243DE8">
            <w:pPr>
              <w:pStyle w:val="Numbered"/>
              <w:numPr>
                <w:ilvl w:val="0"/>
                <w:numId w:val="0"/>
              </w:numPr>
              <w:spacing w:before="0"/>
              <w:rPr>
                <w:sz w:val="20"/>
                <w:szCs w:val="20"/>
              </w:rPr>
            </w:pPr>
          </w:p>
        </w:tc>
        <w:tc>
          <w:tcPr>
            <w:tcW w:w="567" w:type="dxa"/>
            <w:shd w:val="clear" w:color="auto" w:fill="FFC399" w:themeFill="accent5" w:themeFillTint="66"/>
          </w:tcPr>
          <w:p w14:paraId="59A900A5" w14:textId="77777777" w:rsidR="00243DE8" w:rsidRPr="00A82B1F" w:rsidRDefault="00243DE8" w:rsidP="00243DE8">
            <w:pPr>
              <w:pStyle w:val="Numbered"/>
              <w:numPr>
                <w:ilvl w:val="0"/>
                <w:numId w:val="0"/>
              </w:numPr>
              <w:spacing w:before="0"/>
              <w:rPr>
                <w:sz w:val="20"/>
                <w:szCs w:val="20"/>
              </w:rPr>
            </w:pPr>
          </w:p>
        </w:tc>
        <w:tc>
          <w:tcPr>
            <w:tcW w:w="851" w:type="dxa"/>
            <w:shd w:val="clear" w:color="auto" w:fill="auto"/>
          </w:tcPr>
          <w:p w14:paraId="438A8DC9" w14:textId="77777777" w:rsidR="00243DE8" w:rsidRPr="00A82B1F" w:rsidRDefault="00243DE8" w:rsidP="00243DE8">
            <w:pPr>
              <w:pStyle w:val="Numbered"/>
              <w:numPr>
                <w:ilvl w:val="0"/>
                <w:numId w:val="0"/>
              </w:numPr>
              <w:spacing w:before="0"/>
              <w:rPr>
                <w:sz w:val="20"/>
                <w:szCs w:val="20"/>
              </w:rPr>
            </w:pPr>
          </w:p>
        </w:tc>
        <w:tc>
          <w:tcPr>
            <w:tcW w:w="4207" w:type="dxa"/>
            <w:shd w:val="clear" w:color="auto" w:fill="FFE1CC" w:themeFill="accent5" w:themeFillTint="33"/>
          </w:tcPr>
          <w:p w14:paraId="60F425A6" w14:textId="49CE3D3D" w:rsidR="00243DE8" w:rsidRPr="00A82B1F" w:rsidRDefault="00243DE8" w:rsidP="00243DE8">
            <w:pPr>
              <w:pStyle w:val="Numbered"/>
              <w:numPr>
                <w:ilvl w:val="0"/>
                <w:numId w:val="0"/>
              </w:numPr>
              <w:spacing w:before="0"/>
              <w:rPr>
                <w:sz w:val="20"/>
                <w:szCs w:val="20"/>
              </w:rPr>
            </w:pPr>
            <w:r w:rsidRPr="005C0157">
              <w:rPr>
                <w:sz w:val="20"/>
                <w:szCs w:val="20"/>
              </w:rPr>
              <w:t>In supply agreement</w:t>
            </w:r>
            <w:r>
              <w:rPr>
                <w:sz w:val="20"/>
                <w:szCs w:val="20"/>
              </w:rPr>
              <w:t xml:space="preserve"> and w</w:t>
            </w:r>
            <w:r w:rsidRPr="005C0157">
              <w:rPr>
                <w:sz w:val="20"/>
                <w:szCs w:val="20"/>
              </w:rPr>
              <w:t>ithin reasonable time</w:t>
            </w:r>
            <w:r>
              <w:rPr>
                <w:sz w:val="20"/>
                <w:szCs w:val="20"/>
              </w:rPr>
              <w:t>.</w:t>
            </w:r>
          </w:p>
        </w:tc>
      </w:tr>
      <w:tr w:rsidR="005862F8" w14:paraId="5B59D894" w14:textId="77777777" w:rsidTr="00243DE8">
        <w:tc>
          <w:tcPr>
            <w:tcW w:w="2977" w:type="dxa"/>
          </w:tcPr>
          <w:p w14:paraId="4328BCA5" w14:textId="77777777" w:rsidR="005862F8" w:rsidRPr="00A82B1F" w:rsidRDefault="005862F8" w:rsidP="005509A4">
            <w:pPr>
              <w:pStyle w:val="Numbered"/>
              <w:numPr>
                <w:ilvl w:val="0"/>
                <w:numId w:val="0"/>
              </w:numPr>
              <w:spacing w:before="0"/>
              <w:rPr>
                <w:sz w:val="20"/>
                <w:szCs w:val="20"/>
              </w:rPr>
            </w:pPr>
            <w:r w:rsidRPr="00A82B1F">
              <w:rPr>
                <w:sz w:val="20"/>
                <w:szCs w:val="20"/>
              </w:rPr>
              <w:t xml:space="preserve">Set offs </w:t>
            </w:r>
          </w:p>
        </w:tc>
        <w:tc>
          <w:tcPr>
            <w:tcW w:w="567" w:type="dxa"/>
            <w:shd w:val="clear" w:color="auto" w:fill="auto"/>
          </w:tcPr>
          <w:p w14:paraId="0CD9EA6C"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1F02FAF7"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5062A561"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4E101DF3" w14:textId="6944E5FD" w:rsidR="005862F8" w:rsidRPr="00A82B1F" w:rsidRDefault="005862F8" w:rsidP="00243DE8">
            <w:pPr>
              <w:pStyle w:val="Numbered"/>
              <w:numPr>
                <w:ilvl w:val="0"/>
                <w:numId w:val="0"/>
              </w:numPr>
              <w:spacing w:before="0"/>
              <w:rPr>
                <w:sz w:val="20"/>
                <w:szCs w:val="20"/>
              </w:rPr>
            </w:pPr>
            <w:r w:rsidRPr="00A82B1F">
              <w:rPr>
                <w:sz w:val="20"/>
                <w:szCs w:val="20"/>
              </w:rPr>
              <w:t>Written approval</w:t>
            </w:r>
            <w:r w:rsidR="00243DE8">
              <w:rPr>
                <w:sz w:val="20"/>
                <w:szCs w:val="20"/>
              </w:rPr>
              <w:t xml:space="preserve"> and i</w:t>
            </w:r>
            <w:r w:rsidRPr="00A82B1F">
              <w:rPr>
                <w:sz w:val="20"/>
                <w:szCs w:val="20"/>
              </w:rPr>
              <w:t>n supply agreement</w:t>
            </w:r>
            <w:r w:rsidR="00243DE8">
              <w:rPr>
                <w:sz w:val="20"/>
                <w:szCs w:val="20"/>
              </w:rPr>
              <w:t>, and r</w:t>
            </w:r>
            <w:r w:rsidRPr="00A82B1F">
              <w:rPr>
                <w:sz w:val="20"/>
                <w:szCs w:val="20"/>
              </w:rPr>
              <w:t>easonable in the circumstances</w:t>
            </w:r>
            <w:r>
              <w:rPr>
                <w:sz w:val="20"/>
                <w:szCs w:val="20"/>
              </w:rPr>
              <w:t>.</w:t>
            </w:r>
          </w:p>
        </w:tc>
      </w:tr>
      <w:tr w:rsidR="005862F8" w14:paraId="47F89C1A" w14:textId="77777777" w:rsidTr="00243DE8">
        <w:tc>
          <w:tcPr>
            <w:tcW w:w="2977" w:type="dxa"/>
          </w:tcPr>
          <w:p w14:paraId="633D08B3" w14:textId="77777777" w:rsidR="005862F8" w:rsidRPr="00A82B1F" w:rsidRDefault="005862F8" w:rsidP="005509A4">
            <w:pPr>
              <w:pStyle w:val="Numbered"/>
              <w:numPr>
                <w:ilvl w:val="0"/>
                <w:numId w:val="0"/>
              </w:numPr>
              <w:spacing w:before="0"/>
              <w:rPr>
                <w:sz w:val="20"/>
                <w:szCs w:val="20"/>
              </w:rPr>
            </w:pPr>
            <w:r w:rsidRPr="00A82B1F">
              <w:rPr>
                <w:sz w:val="20"/>
                <w:szCs w:val="20"/>
              </w:rPr>
              <w:t xml:space="preserve">Price increases </w:t>
            </w:r>
          </w:p>
        </w:tc>
        <w:tc>
          <w:tcPr>
            <w:tcW w:w="567" w:type="dxa"/>
            <w:shd w:val="clear" w:color="auto" w:fill="auto"/>
          </w:tcPr>
          <w:p w14:paraId="37839C36" w14:textId="77777777" w:rsidR="005862F8" w:rsidRPr="00A82B1F" w:rsidRDefault="005862F8" w:rsidP="005509A4">
            <w:pPr>
              <w:pStyle w:val="Numbered"/>
              <w:numPr>
                <w:ilvl w:val="0"/>
                <w:numId w:val="0"/>
              </w:numPr>
              <w:spacing w:before="0"/>
              <w:rPr>
                <w:sz w:val="20"/>
                <w:szCs w:val="20"/>
              </w:rPr>
            </w:pPr>
          </w:p>
        </w:tc>
        <w:tc>
          <w:tcPr>
            <w:tcW w:w="567" w:type="dxa"/>
            <w:shd w:val="clear" w:color="auto" w:fill="FFC399" w:themeFill="accent5" w:themeFillTint="66"/>
          </w:tcPr>
          <w:p w14:paraId="4F0C8DA5" w14:textId="77777777" w:rsidR="005862F8" w:rsidRPr="00A82B1F" w:rsidRDefault="005862F8" w:rsidP="005509A4">
            <w:pPr>
              <w:pStyle w:val="Numbered"/>
              <w:numPr>
                <w:ilvl w:val="0"/>
                <w:numId w:val="0"/>
              </w:numPr>
              <w:spacing w:before="0"/>
              <w:rPr>
                <w:sz w:val="20"/>
                <w:szCs w:val="20"/>
              </w:rPr>
            </w:pPr>
          </w:p>
        </w:tc>
        <w:tc>
          <w:tcPr>
            <w:tcW w:w="851" w:type="dxa"/>
            <w:shd w:val="clear" w:color="auto" w:fill="auto"/>
          </w:tcPr>
          <w:p w14:paraId="2FA2DE77"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163D47CF" w14:textId="13380D54" w:rsidR="005862F8" w:rsidRPr="00A82B1F" w:rsidRDefault="005862F8" w:rsidP="005509A4">
            <w:pPr>
              <w:pStyle w:val="Numbered"/>
              <w:numPr>
                <w:ilvl w:val="0"/>
                <w:numId w:val="0"/>
              </w:numPr>
              <w:spacing w:before="0"/>
              <w:rPr>
                <w:sz w:val="20"/>
                <w:szCs w:val="20"/>
              </w:rPr>
            </w:pPr>
            <w:r w:rsidRPr="00A82B1F">
              <w:rPr>
                <w:sz w:val="20"/>
                <w:szCs w:val="20"/>
              </w:rPr>
              <w:t>Maximum response times and processes</w:t>
            </w:r>
            <w:r>
              <w:rPr>
                <w:sz w:val="20"/>
                <w:szCs w:val="20"/>
              </w:rPr>
              <w:t>.</w:t>
            </w:r>
          </w:p>
        </w:tc>
      </w:tr>
      <w:tr w:rsidR="005862F8" w14:paraId="136B9288" w14:textId="77777777" w:rsidTr="00243DE8">
        <w:tc>
          <w:tcPr>
            <w:tcW w:w="2977" w:type="dxa"/>
          </w:tcPr>
          <w:p w14:paraId="5DE8810F" w14:textId="77777777" w:rsidR="005862F8" w:rsidRPr="00A82B1F" w:rsidRDefault="005862F8" w:rsidP="005509A4">
            <w:pPr>
              <w:pStyle w:val="Numbered"/>
              <w:numPr>
                <w:ilvl w:val="0"/>
                <w:numId w:val="0"/>
              </w:numPr>
              <w:spacing w:before="0"/>
              <w:rPr>
                <w:sz w:val="20"/>
                <w:szCs w:val="20"/>
              </w:rPr>
            </w:pPr>
            <w:r w:rsidRPr="00A82B1F">
              <w:rPr>
                <w:sz w:val="20"/>
                <w:szCs w:val="20"/>
              </w:rPr>
              <w:t>Shrinkage</w:t>
            </w:r>
          </w:p>
        </w:tc>
        <w:tc>
          <w:tcPr>
            <w:tcW w:w="567" w:type="dxa"/>
            <w:shd w:val="clear" w:color="auto" w:fill="auto"/>
          </w:tcPr>
          <w:p w14:paraId="3BAC1815"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5424AC3A"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1DF01BAB" w14:textId="77777777" w:rsidR="005862F8" w:rsidRPr="00A82B1F" w:rsidRDefault="005862F8" w:rsidP="005509A4">
            <w:pPr>
              <w:pStyle w:val="Numbered"/>
              <w:numPr>
                <w:ilvl w:val="0"/>
                <w:numId w:val="0"/>
              </w:numPr>
              <w:spacing w:before="0"/>
              <w:rPr>
                <w:sz w:val="20"/>
                <w:szCs w:val="20"/>
              </w:rPr>
            </w:pPr>
          </w:p>
        </w:tc>
        <w:tc>
          <w:tcPr>
            <w:tcW w:w="4207" w:type="dxa"/>
            <w:shd w:val="clear" w:color="auto" w:fill="auto"/>
          </w:tcPr>
          <w:p w14:paraId="1F62267F" w14:textId="77777777" w:rsidR="005862F8" w:rsidRPr="00A82B1F" w:rsidRDefault="005862F8" w:rsidP="005509A4">
            <w:pPr>
              <w:pStyle w:val="Numbered"/>
              <w:numPr>
                <w:ilvl w:val="0"/>
                <w:numId w:val="0"/>
              </w:numPr>
              <w:spacing w:before="0"/>
              <w:rPr>
                <w:sz w:val="20"/>
                <w:szCs w:val="20"/>
              </w:rPr>
            </w:pPr>
          </w:p>
        </w:tc>
      </w:tr>
      <w:tr w:rsidR="005862F8" w14:paraId="152D717A" w14:textId="77777777" w:rsidTr="00243DE8">
        <w:tc>
          <w:tcPr>
            <w:tcW w:w="2977" w:type="dxa"/>
          </w:tcPr>
          <w:p w14:paraId="79BABB21" w14:textId="77777777" w:rsidR="005862F8" w:rsidRPr="00A82B1F" w:rsidRDefault="005862F8" w:rsidP="005509A4">
            <w:pPr>
              <w:pStyle w:val="Numbered"/>
              <w:numPr>
                <w:ilvl w:val="0"/>
                <w:numId w:val="0"/>
              </w:numPr>
              <w:spacing w:before="0"/>
              <w:rPr>
                <w:sz w:val="20"/>
                <w:szCs w:val="20"/>
              </w:rPr>
            </w:pPr>
            <w:r w:rsidRPr="00A82B1F">
              <w:rPr>
                <w:sz w:val="20"/>
                <w:szCs w:val="20"/>
              </w:rPr>
              <w:t>Wastage</w:t>
            </w:r>
          </w:p>
        </w:tc>
        <w:tc>
          <w:tcPr>
            <w:tcW w:w="567" w:type="dxa"/>
            <w:shd w:val="clear" w:color="auto" w:fill="auto"/>
          </w:tcPr>
          <w:p w14:paraId="0BA9DBCD"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0E61EFDD"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5E3BA117" w14:textId="77777777" w:rsidR="005862F8" w:rsidRPr="00A82B1F" w:rsidRDefault="005862F8" w:rsidP="005509A4">
            <w:pPr>
              <w:pStyle w:val="Numbered"/>
              <w:numPr>
                <w:ilvl w:val="0"/>
                <w:numId w:val="0"/>
              </w:numPr>
              <w:spacing w:before="0"/>
              <w:rPr>
                <w:sz w:val="20"/>
                <w:szCs w:val="20"/>
              </w:rPr>
            </w:pPr>
          </w:p>
        </w:tc>
        <w:tc>
          <w:tcPr>
            <w:tcW w:w="4207" w:type="dxa"/>
            <w:vMerge w:val="restart"/>
            <w:shd w:val="clear" w:color="auto" w:fill="FFE1CC" w:themeFill="accent5" w:themeFillTint="33"/>
            <w:vAlign w:val="center"/>
          </w:tcPr>
          <w:p w14:paraId="7C4F9C55" w14:textId="0FA0D270" w:rsidR="005862F8" w:rsidRPr="00A82B1F" w:rsidRDefault="005862F8" w:rsidP="00243DE8">
            <w:pPr>
              <w:pStyle w:val="Numbered"/>
              <w:numPr>
                <w:ilvl w:val="0"/>
                <w:numId w:val="0"/>
              </w:numPr>
              <w:spacing w:before="0"/>
              <w:rPr>
                <w:sz w:val="20"/>
                <w:szCs w:val="20"/>
              </w:rPr>
            </w:pPr>
            <w:r w:rsidRPr="00A82B1F">
              <w:rPr>
                <w:sz w:val="20"/>
                <w:szCs w:val="20"/>
              </w:rPr>
              <w:t>In supply agreement</w:t>
            </w:r>
            <w:r w:rsidR="00243DE8">
              <w:rPr>
                <w:sz w:val="20"/>
                <w:szCs w:val="20"/>
              </w:rPr>
              <w:t xml:space="preserve"> and r</w:t>
            </w:r>
            <w:r w:rsidRPr="00A82B1F">
              <w:rPr>
                <w:sz w:val="20"/>
                <w:szCs w:val="20"/>
              </w:rPr>
              <w:t>easonable in the circumstances</w:t>
            </w:r>
            <w:r>
              <w:rPr>
                <w:sz w:val="20"/>
                <w:szCs w:val="20"/>
              </w:rPr>
              <w:t>.</w:t>
            </w:r>
          </w:p>
        </w:tc>
      </w:tr>
      <w:tr w:rsidR="005862F8" w14:paraId="1744C8EA" w14:textId="77777777" w:rsidTr="00243DE8">
        <w:tc>
          <w:tcPr>
            <w:tcW w:w="2977" w:type="dxa"/>
          </w:tcPr>
          <w:p w14:paraId="0B8CC2FE" w14:textId="77777777" w:rsidR="005862F8" w:rsidRPr="00A82B1F" w:rsidRDefault="005862F8" w:rsidP="005509A4">
            <w:pPr>
              <w:pStyle w:val="Numbered"/>
              <w:numPr>
                <w:ilvl w:val="0"/>
                <w:numId w:val="0"/>
              </w:numPr>
              <w:spacing w:before="0"/>
              <w:rPr>
                <w:sz w:val="20"/>
                <w:szCs w:val="20"/>
              </w:rPr>
            </w:pPr>
            <w:r w:rsidRPr="00A82B1F">
              <w:rPr>
                <w:sz w:val="20"/>
                <w:szCs w:val="20"/>
              </w:rPr>
              <w:t>Marketing costs</w:t>
            </w:r>
          </w:p>
        </w:tc>
        <w:tc>
          <w:tcPr>
            <w:tcW w:w="567" w:type="dxa"/>
            <w:shd w:val="clear" w:color="auto" w:fill="auto"/>
          </w:tcPr>
          <w:p w14:paraId="3221319D"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3E791560"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4635C656" w14:textId="77777777" w:rsidR="005862F8" w:rsidRPr="00A82B1F" w:rsidRDefault="005862F8" w:rsidP="005509A4">
            <w:pPr>
              <w:pStyle w:val="Numbered"/>
              <w:numPr>
                <w:ilvl w:val="0"/>
                <w:numId w:val="0"/>
              </w:numPr>
              <w:spacing w:before="0"/>
              <w:rPr>
                <w:sz w:val="20"/>
                <w:szCs w:val="20"/>
              </w:rPr>
            </w:pPr>
          </w:p>
        </w:tc>
        <w:tc>
          <w:tcPr>
            <w:tcW w:w="4207" w:type="dxa"/>
            <w:vMerge/>
            <w:shd w:val="clear" w:color="auto" w:fill="FFE1CC" w:themeFill="accent5" w:themeFillTint="33"/>
            <w:vAlign w:val="center"/>
          </w:tcPr>
          <w:p w14:paraId="5387AEAB" w14:textId="721B5AF1" w:rsidR="005862F8" w:rsidRPr="00A82B1F" w:rsidRDefault="005862F8" w:rsidP="0055478B">
            <w:pPr>
              <w:pStyle w:val="Numbered"/>
              <w:numPr>
                <w:ilvl w:val="0"/>
                <w:numId w:val="0"/>
              </w:numPr>
              <w:spacing w:before="0"/>
              <w:rPr>
                <w:sz w:val="20"/>
                <w:szCs w:val="20"/>
              </w:rPr>
            </w:pPr>
          </w:p>
        </w:tc>
      </w:tr>
      <w:tr w:rsidR="005862F8" w14:paraId="794655D9" w14:textId="77777777" w:rsidTr="00243DE8">
        <w:tc>
          <w:tcPr>
            <w:tcW w:w="2977" w:type="dxa"/>
          </w:tcPr>
          <w:p w14:paraId="58CD109D" w14:textId="77777777" w:rsidR="005862F8" w:rsidRPr="00A82B1F" w:rsidRDefault="005862F8" w:rsidP="005509A4">
            <w:pPr>
              <w:pStyle w:val="Numbered"/>
              <w:numPr>
                <w:ilvl w:val="0"/>
                <w:numId w:val="0"/>
              </w:numPr>
              <w:spacing w:before="0"/>
              <w:rPr>
                <w:sz w:val="20"/>
                <w:szCs w:val="20"/>
              </w:rPr>
            </w:pPr>
            <w:r w:rsidRPr="00A82B1F">
              <w:rPr>
                <w:sz w:val="20"/>
                <w:szCs w:val="20"/>
              </w:rPr>
              <w:t>Product placement</w:t>
            </w:r>
          </w:p>
        </w:tc>
        <w:tc>
          <w:tcPr>
            <w:tcW w:w="567" w:type="dxa"/>
            <w:shd w:val="clear" w:color="auto" w:fill="auto"/>
          </w:tcPr>
          <w:p w14:paraId="4E032EED" w14:textId="77777777" w:rsidR="005862F8" w:rsidRPr="00A82B1F" w:rsidRDefault="005862F8" w:rsidP="005509A4">
            <w:pPr>
              <w:pStyle w:val="Numbered"/>
              <w:numPr>
                <w:ilvl w:val="0"/>
                <w:numId w:val="0"/>
              </w:numPr>
              <w:spacing w:before="0"/>
              <w:rPr>
                <w:sz w:val="20"/>
                <w:szCs w:val="20"/>
              </w:rPr>
            </w:pPr>
          </w:p>
        </w:tc>
        <w:tc>
          <w:tcPr>
            <w:tcW w:w="567" w:type="dxa"/>
          </w:tcPr>
          <w:p w14:paraId="6B2C1668"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15648B98" w14:textId="77777777" w:rsidR="005862F8" w:rsidRPr="00A82B1F" w:rsidRDefault="005862F8" w:rsidP="005509A4">
            <w:pPr>
              <w:pStyle w:val="Numbered"/>
              <w:numPr>
                <w:ilvl w:val="0"/>
                <w:numId w:val="0"/>
              </w:numPr>
              <w:spacing w:before="0"/>
              <w:rPr>
                <w:sz w:val="20"/>
                <w:szCs w:val="20"/>
              </w:rPr>
            </w:pPr>
          </w:p>
        </w:tc>
        <w:tc>
          <w:tcPr>
            <w:tcW w:w="4207" w:type="dxa"/>
            <w:vMerge/>
          </w:tcPr>
          <w:p w14:paraId="4D4C0AC7" w14:textId="77777777" w:rsidR="005862F8" w:rsidRPr="00A82B1F" w:rsidRDefault="005862F8" w:rsidP="005509A4">
            <w:pPr>
              <w:pStyle w:val="Numbered"/>
              <w:numPr>
                <w:ilvl w:val="0"/>
                <w:numId w:val="0"/>
              </w:numPr>
              <w:spacing w:before="0"/>
              <w:rPr>
                <w:sz w:val="20"/>
                <w:szCs w:val="20"/>
              </w:rPr>
            </w:pPr>
          </w:p>
        </w:tc>
      </w:tr>
      <w:tr w:rsidR="005862F8" w14:paraId="6BCC5412" w14:textId="77777777" w:rsidTr="00243DE8">
        <w:tc>
          <w:tcPr>
            <w:tcW w:w="2977" w:type="dxa"/>
          </w:tcPr>
          <w:p w14:paraId="49699A62" w14:textId="6335D4F3" w:rsidR="005862F8" w:rsidRPr="00A82B1F" w:rsidRDefault="005862F8" w:rsidP="005509A4">
            <w:pPr>
              <w:pStyle w:val="Numbered"/>
              <w:numPr>
                <w:ilvl w:val="0"/>
                <w:numId w:val="0"/>
              </w:numPr>
              <w:spacing w:before="0"/>
              <w:rPr>
                <w:sz w:val="20"/>
                <w:szCs w:val="20"/>
              </w:rPr>
            </w:pPr>
            <w:r w:rsidRPr="00A82B1F">
              <w:rPr>
                <w:sz w:val="20"/>
                <w:szCs w:val="20"/>
              </w:rPr>
              <w:t>Payments as condition of supply</w:t>
            </w:r>
          </w:p>
        </w:tc>
        <w:tc>
          <w:tcPr>
            <w:tcW w:w="567" w:type="dxa"/>
            <w:shd w:val="clear" w:color="auto" w:fill="auto"/>
          </w:tcPr>
          <w:p w14:paraId="73547704" w14:textId="77777777" w:rsidR="005862F8" w:rsidRPr="00A82B1F" w:rsidRDefault="005862F8" w:rsidP="005509A4">
            <w:pPr>
              <w:pStyle w:val="Numbered"/>
              <w:numPr>
                <w:ilvl w:val="0"/>
                <w:numId w:val="0"/>
              </w:numPr>
              <w:spacing w:before="0"/>
              <w:rPr>
                <w:sz w:val="20"/>
                <w:szCs w:val="20"/>
              </w:rPr>
            </w:pPr>
          </w:p>
        </w:tc>
        <w:tc>
          <w:tcPr>
            <w:tcW w:w="567" w:type="dxa"/>
          </w:tcPr>
          <w:p w14:paraId="0A66D75B"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26607E20" w14:textId="77777777" w:rsidR="005862F8" w:rsidRPr="00A82B1F" w:rsidRDefault="005862F8" w:rsidP="005509A4">
            <w:pPr>
              <w:pStyle w:val="Numbered"/>
              <w:numPr>
                <w:ilvl w:val="0"/>
                <w:numId w:val="0"/>
              </w:numPr>
              <w:spacing w:before="0"/>
              <w:rPr>
                <w:sz w:val="20"/>
                <w:szCs w:val="20"/>
              </w:rPr>
            </w:pPr>
          </w:p>
        </w:tc>
        <w:tc>
          <w:tcPr>
            <w:tcW w:w="4207" w:type="dxa"/>
            <w:vMerge/>
          </w:tcPr>
          <w:p w14:paraId="5ED350B7" w14:textId="77777777" w:rsidR="005862F8" w:rsidRPr="00A82B1F" w:rsidRDefault="005862F8" w:rsidP="005509A4">
            <w:pPr>
              <w:pStyle w:val="Numbered"/>
              <w:numPr>
                <w:ilvl w:val="0"/>
                <w:numId w:val="0"/>
              </w:numPr>
              <w:spacing w:before="0"/>
              <w:rPr>
                <w:sz w:val="20"/>
                <w:szCs w:val="20"/>
              </w:rPr>
            </w:pPr>
          </w:p>
        </w:tc>
      </w:tr>
      <w:tr w:rsidR="005862F8" w14:paraId="3F804C71" w14:textId="77777777" w:rsidTr="00243DE8">
        <w:tc>
          <w:tcPr>
            <w:tcW w:w="2977" w:type="dxa"/>
          </w:tcPr>
          <w:p w14:paraId="69EC7489" w14:textId="77777777" w:rsidR="005862F8" w:rsidRPr="00A82B1F" w:rsidRDefault="005862F8" w:rsidP="005509A4">
            <w:pPr>
              <w:pStyle w:val="Numbered"/>
              <w:numPr>
                <w:ilvl w:val="0"/>
                <w:numId w:val="0"/>
              </w:numPr>
              <w:spacing w:before="0"/>
              <w:rPr>
                <w:sz w:val="20"/>
                <w:szCs w:val="20"/>
              </w:rPr>
            </w:pPr>
            <w:r w:rsidRPr="00A82B1F">
              <w:rPr>
                <w:sz w:val="20"/>
                <w:szCs w:val="20"/>
              </w:rPr>
              <w:t>Promotional payments</w:t>
            </w:r>
          </w:p>
        </w:tc>
        <w:tc>
          <w:tcPr>
            <w:tcW w:w="567" w:type="dxa"/>
            <w:shd w:val="clear" w:color="auto" w:fill="auto"/>
          </w:tcPr>
          <w:p w14:paraId="2F3F951F" w14:textId="77777777" w:rsidR="005862F8" w:rsidRPr="00A82B1F" w:rsidRDefault="005862F8" w:rsidP="005509A4">
            <w:pPr>
              <w:pStyle w:val="Numbered"/>
              <w:numPr>
                <w:ilvl w:val="0"/>
                <w:numId w:val="0"/>
              </w:numPr>
              <w:spacing w:before="0"/>
              <w:rPr>
                <w:sz w:val="20"/>
                <w:szCs w:val="20"/>
              </w:rPr>
            </w:pPr>
          </w:p>
        </w:tc>
        <w:tc>
          <w:tcPr>
            <w:tcW w:w="567" w:type="dxa"/>
          </w:tcPr>
          <w:p w14:paraId="35488893"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3AAC3FBA" w14:textId="77777777" w:rsidR="005862F8" w:rsidRPr="00A82B1F" w:rsidRDefault="005862F8" w:rsidP="005509A4">
            <w:pPr>
              <w:pStyle w:val="Numbered"/>
              <w:numPr>
                <w:ilvl w:val="0"/>
                <w:numId w:val="0"/>
              </w:numPr>
              <w:spacing w:before="0"/>
              <w:rPr>
                <w:sz w:val="20"/>
                <w:szCs w:val="20"/>
              </w:rPr>
            </w:pPr>
          </w:p>
        </w:tc>
        <w:tc>
          <w:tcPr>
            <w:tcW w:w="4207" w:type="dxa"/>
            <w:vMerge/>
          </w:tcPr>
          <w:p w14:paraId="7D15919E" w14:textId="77777777" w:rsidR="005862F8" w:rsidRPr="00A82B1F" w:rsidRDefault="005862F8" w:rsidP="005509A4">
            <w:pPr>
              <w:pStyle w:val="Numbered"/>
              <w:numPr>
                <w:ilvl w:val="0"/>
                <w:numId w:val="0"/>
              </w:numPr>
              <w:spacing w:before="0"/>
              <w:rPr>
                <w:sz w:val="20"/>
                <w:szCs w:val="20"/>
              </w:rPr>
            </w:pPr>
          </w:p>
        </w:tc>
      </w:tr>
      <w:tr w:rsidR="005862F8" w14:paraId="69496155" w14:textId="77777777" w:rsidTr="00243DE8">
        <w:tc>
          <w:tcPr>
            <w:tcW w:w="2977" w:type="dxa"/>
            <w:tcBorders>
              <w:bottom w:val="single" w:sz="4" w:space="0" w:color="auto"/>
            </w:tcBorders>
          </w:tcPr>
          <w:p w14:paraId="256EF432" w14:textId="77777777" w:rsidR="005862F8" w:rsidRPr="00A82B1F" w:rsidRDefault="005862F8" w:rsidP="005509A4">
            <w:pPr>
              <w:pStyle w:val="Numbered"/>
              <w:numPr>
                <w:ilvl w:val="0"/>
                <w:numId w:val="0"/>
              </w:numPr>
              <w:spacing w:before="0"/>
              <w:rPr>
                <w:sz w:val="20"/>
                <w:szCs w:val="20"/>
              </w:rPr>
            </w:pPr>
            <w:r w:rsidRPr="00A82B1F">
              <w:rPr>
                <w:sz w:val="20"/>
                <w:szCs w:val="20"/>
              </w:rPr>
              <w:t>Promotional buying</w:t>
            </w:r>
          </w:p>
        </w:tc>
        <w:tc>
          <w:tcPr>
            <w:tcW w:w="567" w:type="dxa"/>
            <w:tcBorders>
              <w:bottom w:val="single" w:sz="4" w:space="0" w:color="auto"/>
            </w:tcBorders>
            <w:shd w:val="clear" w:color="auto" w:fill="auto"/>
          </w:tcPr>
          <w:p w14:paraId="2C9AEE11" w14:textId="77777777" w:rsidR="005862F8" w:rsidRPr="00A82B1F" w:rsidRDefault="005862F8" w:rsidP="005509A4">
            <w:pPr>
              <w:pStyle w:val="Numbered"/>
              <w:numPr>
                <w:ilvl w:val="0"/>
                <w:numId w:val="0"/>
              </w:numPr>
              <w:spacing w:before="0"/>
              <w:rPr>
                <w:sz w:val="20"/>
                <w:szCs w:val="20"/>
              </w:rPr>
            </w:pPr>
          </w:p>
        </w:tc>
        <w:tc>
          <w:tcPr>
            <w:tcW w:w="567" w:type="dxa"/>
            <w:tcBorders>
              <w:bottom w:val="single" w:sz="4" w:space="0" w:color="auto"/>
            </w:tcBorders>
            <w:shd w:val="clear" w:color="auto" w:fill="FFC399" w:themeFill="accent5" w:themeFillTint="66"/>
          </w:tcPr>
          <w:p w14:paraId="4EABDC17" w14:textId="77777777" w:rsidR="005862F8" w:rsidRPr="00A82B1F" w:rsidRDefault="005862F8" w:rsidP="005509A4">
            <w:pPr>
              <w:pStyle w:val="Numbered"/>
              <w:numPr>
                <w:ilvl w:val="0"/>
                <w:numId w:val="0"/>
              </w:numPr>
              <w:spacing w:before="0"/>
              <w:rPr>
                <w:sz w:val="20"/>
                <w:szCs w:val="20"/>
              </w:rPr>
            </w:pPr>
          </w:p>
        </w:tc>
        <w:tc>
          <w:tcPr>
            <w:tcW w:w="851" w:type="dxa"/>
            <w:tcBorders>
              <w:bottom w:val="single" w:sz="4" w:space="0" w:color="auto"/>
            </w:tcBorders>
            <w:shd w:val="clear" w:color="auto" w:fill="auto"/>
          </w:tcPr>
          <w:p w14:paraId="322736FF" w14:textId="77777777" w:rsidR="005862F8" w:rsidRPr="00A82B1F" w:rsidRDefault="005862F8" w:rsidP="005509A4">
            <w:pPr>
              <w:pStyle w:val="Numbered"/>
              <w:numPr>
                <w:ilvl w:val="0"/>
                <w:numId w:val="0"/>
              </w:numPr>
              <w:spacing w:before="0"/>
              <w:rPr>
                <w:sz w:val="20"/>
                <w:szCs w:val="20"/>
              </w:rPr>
            </w:pPr>
          </w:p>
        </w:tc>
        <w:tc>
          <w:tcPr>
            <w:tcW w:w="4207" w:type="dxa"/>
            <w:tcBorders>
              <w:bottom w:val="single" w:sz="4" w:space="0" w:color="auto"/>
            </w:tcBorders>
            <w:shd w:val="clear" w:color="auto" w:fill="FFE1CC" w:themeFill="accent5" w:themeFillTint="33"/>
          </w:tcPr>
          <w:p w14:paraId="2E03F7E2" w14:textId="463197DA" w:rsidR="005862F8" w:rsidRPr="00A82B1F" w:rsidRDefault="005862F8" w:rsidP="00243DE8">
            <w:pPr>
              <w:pStyle w:val="Numbered"/>
              <w:numPr>
                <w:ilvl w:val="0"/>
                <w:numId w:val="0"/>
              </w:numPr>
              <w:spacing w:before="0"/>
              <w:rPr>
                <w:sz w:val="20"/>
                <w:szCs w:val="20"/>
              </w:rPr>
            </w:pPr>
            <w:r w:rsidRPr="00A82B1F">
              <w:rPr>
                <w:sz w:val="20"/>
                <w:szCs w:val="20"/>
              </w:rPr>
              <w:t>Care to be taken</w:t>
            </w:r>
            <w:r w:rsidR="00243DE8">
              <w:rPr>
                <w:sz w:val="20"/>
                <w:szCs w:val="20"/>
              </w:rPr>
              <w:t xml:space="preserve"> and c</w:t>
            </w:r>
            <w:r w:rsidRPr="00A82B1F">
              <w:rPr>
                <w:sz w:val="20"/>
                <w:szCs w:val="20"/>
              </w:rPr>
              <w:t>ompensation provisions</w:t>
            </w:r>
            <w:r>
              <w:rPr>
                <w:sz w:val="20"/>
                <w:szCs w:val="20"/>
              </w:rPr>
              <w:t>.</w:t>
            </w:r>
          </w:p>
        </w:tc>
      </w:tr>
    </w:tbl>
    <w:p w14:paraId="4496F3A6" w14:textId="7480AC7B" w:rsidR="0055478B" w:rsidRPr="005C0157" w:rsidRDefault="0055478B" w:rsidP="005C0157">
      <w:pPr>
        <w:spacing w:after="0" w:line="240" w:lineRule="auto"/>
        <w:rPr>
          <w:sz w:val="4"/>
          <w:szCs w:val="4"/>
        </w:rPr>
      </w:pPr>
    </w:p>
    <w:tbl>
      <w:tblPr>
        <w:tblStyle w:val="TableGrid"/>
        <w:tblW w:w="9169" w:type="dxa"/>
        <w:tblInd w:w="-5" w:type="dxa"/>
        <w:tblLayout w:type="fixed"/>
        <w:tblCellMar>
          <w:left w:w="57" w:type="dxa"/>
          <w:right w:w="57" w:type="dxa"/>
        </w:tblCellMar>
        <w:tblLook w:val="04A0" w:firstRow="1" w:lastRow="0" w:firstColumn="1" w:lastColumn="0" w:noHBand="0" w:noVBand="1"/>
      </w:tblPr>
      <w:tblGrid>
        <w:gridCol w:w="2977"/>
        <w:gridCol w:w="567"/>
        <w:gridCol w:w="567"/>
        <w:gridCol w:w="851"/>
        <w:gridCol w:w="4207"/>
      </w:tblGrid>
      <w:tr w:rsidR="0055478B" w:rsidRPr="00A82B1F" w14:paraId="56D2175F" w14:textId="77777777" w:rsidTr="00243DE8">
        <w:trPr>
          <w:tblHeader/>
        </w:trPr>
        <w:tc>
          <w:tcPr>
            <w:tcW w:w="2977" w:type="dxa"/>
            <w:vMerge w:val="restart"/>
          </w:tcPr>
          <w:p w14:paraId="7B8468CF" w14:textId="2D502290" w:rsidR="0055478B" w:rsidRPr="00335395" w:rsidRDefault="0055478B" w:rsidP="005509A4">
            <w:pPr>
              <w:pStyle w:val="Numbered"/>
              <w:numPr>
                <w:ilvl w:val="0"/>
                <w:numId w:val="0"/>
              </w:numPr>
              <w:spacing w:before="0"/>
              <w:rPr>
                <w:b/>
                <w:bCs/>
              </w:rPr>
            </w:pPr>
            <w:r w:rsidRPr="00A82B1F">
              <w:rPr>
                <w:b/>
                <w:bCs/>
              </w:rPr>
              <w:lastRenderedPageBreak/>
              <w:t xml:space="preserve">Option 3 </w:t>
            </w:r>
            <w:r w:rsidR="00D3390A" w:rsidRPr="00D3390A">
              <w:rPr>
                <w:b/>
                <w:bCs/>
              </w:rPr>
              <w:t xml:space="preserve">Alternative </w:t>
            </w:r>
            <w:r w:rsidRPr="00A82B1F">
              <w:rPr>
                <w:b/>
                <w:bCs/>
              </w:rPr>
              <w:t>Code</w:t>
            </w:r>
          </w:p>
        </w:tc>
        <w:tc>
          <w:tcPr>
            <w:tcW w:w="6192" w:type="dxa"/>
            <w:gridSpan w:val="4"/>
            <w:vAlign w:val="center"/>
          </w:tcPr>
          <w:p w14:paraId="21B5CEFA" w14:textId="53FCB8E4" w:rsidR="0055478B" w:rsidRPr="00A82B1F" w:rsidRDefault="008E27CD" w:rsidP="005509A4">
            <w:pPr>
              <w:pStyle w:val="Numbered"/>
              <w:numPr>
                <w:ilvl w:val="0"/>
                <w:numId w:val="0"/>
              </w:numPr>
              <w:spacing w:before="0"/>
              <w:jc w:val="center"/>
              <w:rPr>
                <w:b/>
                <w:bCs/>
              </w:rPr>
            </w:pPr>
            <w:r w:rsidRPr="00A82B1F">
              <w:rPr>
                <w:b/>
                <w:bCs/>
              </w:rPr>
              <w:t xml:space="preserve">How the </w:t>
            </w:r>
            <w:r>
              <w:rPr>
                <w:b/>
                <w:bCs/>
              </w:rPr>
              <w:t>option</w:t>
            </w:r>
            <w:r w:rsidRPr="00A82B1F">
              <w:rPr>
                <w:b/>
                <w:bCs/>
              </w:rPr>
              <w:t xml:space="preserve"> regulates conduct</w:t>
            </w:r>
          </w:p>
        </w:tc>
      </w:tr>
      <w:tr w:rsidR="0055478B" w14:paraId="1305FF3E" w14:textId="77777777" w:rsidTr="00243DE8">
        <w:trPr>
          <w:tblHeader/>
        </w:trPr>
        <w:tc>
          <w:tcPr>
            <w:tcW w:w="2977" w:type="dxa"/>
            <w:vMerge/>
          </w:tcPr>
          <w:p w14:paraId="54D78D73" w14:textId="77777777" w:rsidR="0055478B" w:rsidRPr="00A82B1F" w:rsidRDefault="0055478B" w:rsidP="005509A4">
            <w:pPr>
              <w:pStyle w:val="Numbered"/>
              <w:numPr>
                <w:ilvl w:val="0"/>
                <w:numId w:val="0"/>
              </w:numPr>
              <w:spacing w:before="0"/>
              <w:rPr>
                <w:b/>
                <w:bCs/>
              </w:rPr>
            </w:pPr>
          </w:p>
        </w:tc>
        <w:tc>
          <w:tcPr>
            <w:tcW w:w="567" w:type="dxa"/>
          </w:tcPr>
          <w:p w14:paraId="6C5A4ADE" w14:textId="77777777" w:rsidR="0055478B" w:rsidRPr="00A82B1F" w:rsidRDefault="0055478B" w:rsidP="005509A4">
            <w:pPr>
              <w:pStyle w:val="Numbered"/>
              <w:numPr>
                <w:ilvl w:val="0"/>
                <w:numId w:val="0"/>
              </w:numPr>
              <w:spacing w:before="0"/>
              <w:rPr>
                <w:sz w:val="20"/>
                <w:szCs w:val="20"/>
              </w:rPr>
            </w:pPr>
            <w:r w:rsidRPr="00A82B1F">
              <w:rPr>
                <w:sz w:val="20"/>
                <w:szCs w:val="20"/>
              </w:rPr>
              <w:t xml:space="preserve">N/A </w:t>
            </w:r>
          </w:p>
        </w:tc>
        <w:tc>
          <w:tcPr>
            <w:tcW w:w="567" w:type="dxa"/>
          </w:tcPr>
          <w:p w14:paraId="5EF71B89" w14:textId="431E2DEB" w:rsidR="0055478B" w:rsidRPr="00A82B1F" w:rsidRDefault="0055478B" w:rsidP="005509A4">
            <w:pPr>
              <w:pStyle w:val="Numbered"/>
              <w:numPr>
                <w:ilvl w:val="0"/>
                <w:numId w:val="0"/>
              </w:numPr>
              <w:spacing w:before="0"/>
              <w:rPr>
                <w:sz w:val="20"/>
                <w:szCs w:val="20"/>
              </w:rPr>
            </w:pPr>
            <w:r w:rsidRPr="00A82B1F">
              <w:rPr>
                <w:sz w:val="20"/>
                <w:szCs w:val="20"/>
              </w:rPr>
              <w:t xml:space="preserve">Limit </w:t>
            </w:r>
          </w:p>
        </w:tc>
        <w:tc>
          <w:tcPr>
            <w:tcW w:w="851" w:type="dxa"/>
          </w:tcPr>
          <w:p w14:paraId="48E83E65" w14:textId="29E777B5" w:rsidR="0055478B" w:rsidRPr="00A82B1F" w:rsidRDefault="0055478B" w:rsidP="005509A4">
            <w:pPr>
              <w:pStyle w:val="Numbered"/>
              <w:numPr>
                <w:ilvl w:val="0"/>
                <w:numId w:val="0"/>
              </w:numPr>
              <w:spacing w:before="0"/>
              <w:rPr>
                <w:sz w:val="20"/>
                <w:szCs w:val="20"/>
              </w:rPr>
            </w:pPr>
            <w:r w:rsidRPr="00A82B1F">
              <w:rPr>
                <w:sz w:val="20"/>
                <w:szCs w:val="20"/>
              </w:rPr>
              <w:t>Prohibit</w:t>
            </w:r>
          </w:p>
        </w:tc>
        <w:tc>
          <w:tcPr>
            <w:tcW w:w="4207" w:type="dxa"/>
          </w:tcPr>
          <w:p w14:paraId="10AE8A8D" w14:textId="77777777" w:rsidR="0055478B" w:rsidRPr="00A82B1F" w:rsidRDefault="0055478B" w:rsidP="005509A4">
            <w:pPr>
              <w:pStyle w:val="Numbered"/>
              <w:numPr>
                <w:ilvl w:val="0"/>
                <w:numId w:val="0"/>
              </w:numPr>
              <w:spacing w:before="0"/>
              <w:rPr>
                <w:sz w:val="20"/>
                <w:szCs w:val="20"/>
              </w:rPr>
            </w:pPr>
            <w:r w:rsidRPr="00A82B1F">
              <w:rPr>
                <w:sz w:val="20"/>
                <w:szCs w:val="20"/>
              </w:rPr>
              <w:t>Exceptions or conditions</w:t>
            </w:r>
          </w:p>
        </w:tc>
      </w:tr>
      <w:tr w:rsidR="005862F8" w14:paraId="378B481A" w14:textId="77777777" w:rsidTr="00243DE8">
        <w:tc>
          <w:tcPr>
            <w:tcW w:w="2977" w:type="dxa"/>
          </w:tcPr>
          <w:p w14:paraId="568D8DF4" w14:textId="77777777" w:rsidR="005862F8" w:rsidRPr="00A82B1F" w:rsidRDefault="005862F8" w:rsidP="005509A4">
            <w:pPr>
              <w:pStyle w:val="Numbered"/>
              <w:numPr>
                <w:ilvl w:val="0"/>
                <w:numId w:val="0"/>
              </w:numPr>
              <w:spacing w:before="0"/>
              <w:rPr>
                <w:sz w:val="20"/>
                <w:szCs w:val="20"/>
              </w:rPr>
            </w:pPr>
            <w:r w:rsidRPr="00A82B1F">
              <w:rPr>
                <w:sz w:val="20"/>
                <w:szCs w:val="20"/>
              </w:rPr>
              <w:t>Payment terms</w:t>
            </w:r>
          </w:p>
        </w:tc>
        <w:tc>
          <w:tcPr>
            <w:tcW w:w="567" w:type="dxa"/>
            <w:shd w:val="clear" w:color="auto" w:fill="auto"/>
          </w:tcPr>
          <w:p w14:paraId="0F8B9C37" w14:textId="77777777" w:rsidR="005862F8" w:rsidRPr="00A82B1F" w:rsidRDefault="005862F8" w:rsidP="005509A4">
            <w:pPr>
              <w:pStyle w:val="Numbered"/>
              <w:numPr>
                <w:ilvl w:val="0"/>
                <w:numId w:val="0"/>
              </w:numPr>
              <w:spacing w:before="0"/>
              <w:rPr>
                <w:sz w:val="20"/>
                <w:szCs w:val="20"/>
              </w:rPr>
            </w:pPr>
          </w:p>
        </w:tc>
        <w:tc>
          <w:tcPr>
            <w:tcW w:w="567" w:type="dxa"/>
            <w:shd w:val="clear" w:color="auto" w:fill="FFC399" w:themeFill="accent5" w:themeFillTint="66"/>
          </w:tcPr>
          <w:p w14:paraId="79F4A3E6" w14:textId="77777777" w:rsidR="005862F8" w:rsidRPr="00A82B1F" w:rsidRDefault="005862F8" w:rsidP="005509A4">
            <w:pPr>
              <w:pStyle w:val="Numbered"/>
              <w:numPr>
                <w:ilvl w:val="0"/>
                <w:numId w:val="0"/>
              </w:numPr>
              <w:spacing w:before="0"/>
              <w:rPr>
                <w:sz w:val="20"/>
                <w:szCs w:val="20"/>
              </w:rPr>
            </w:pPr>
          </w:p>
        </w:tc>
        <w:tc>
          <w:tcPr>
            <w:tcW w:w="851" w:type="dxa"/>
            <w:shd w:val="clear" w:color="auto" w:fill="auto"/>
          </w:tcPr>
          <w:p w14:paraId="3940980E"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3209A853" w14:textId="5FA90CE1" w:rsidR="005862F8" w:rsidRPr="00A82B1F" w:rsidRDefault="005862F8" w:rsidP="00243DE8">
            <w:pPr>
              <w:pStyle w:val="Numbered"/>
              <w:numPr>
                <w:ilvl w:val="0"/>
                <w:numId w:val="0"/>
              </w:numPr>
              <w:spacing w:before="0"/>
              <w:rPr>
                <w:sz w:val="20"/>
                <w:szCs w:val="20"/>
              </w:rPr>
            </w:pPr>
            <w:r>
              <w:rPr>
                <w:sz w:val="20"/>
                <w:szCs w:val="20"/>
              </w:rPr>
              <w:t>Prompt payments</w:t>
            </w:r>
            <w:r w:rsidR="00243DE8">
              <w:rPr>
                <w:sz w:val="20"/>
                <w:szCs w:val="20"/>
              </w:rPr>
              <w:t xml:space="preserve"> and n</w:t>
            </w:r>
            <w:r>
              <w:rPr>
                <w:sz w:val="20"/>
                <w:szCs w:val="20"/>
              </w:rPr>
              <w:t>o later than supply agreement.</w:t>
            </w:r>
          </w:p>
        </w:tc>
      </w:tr>
      <w:tr w:rsidR="00243DE8" w14:paraId="728A52E1" w14:textId="77777777" w:rsidTr="00243DE8">
        <w:tc>
          <w:tcPr>
            <w:tcW w:w="2977" w:type="dxa"/>
          </w:tcPr>
          <w:p w14:paraId="13F3D9BD" w14:textId="77777777" w:rsidR="00243DE8" w:rsidRPr="00A82B1F" w:rsidRDefault="00243DE8" w:rsidP="00243DE8">
            <w:pPr>
              <w:pStyle w:val="Numbered"/>
              <w:numPr>
                <w:ilvl w:val="0"/>
                <w:numId w:val="0"/>
              </w:numPr>
              <w:spacing w:before="0"/>
              <w:rPr>
                <w:sz w:val="20"/>
                <w:szCs w:val="20"/>
              </w:rPr>
            </w:pPr>
            <w:r w:rsidRPr="00A82B1F">
              <w:rPr>
                <w:sz w:val="20"/>
                <w:szCs w:val="20"/>
              </w:rPr>
              <w:t xml:space="preserve">Set offs </w:t>
            </w:r>
          </w:p>
        </w:tc>
        <w:tc>
          <w:tcPr>
            <w:tcW w:w="567" w:type="dxa"/>
            <w:shd w:val="clear" w:color="auto" w:fill="auto"/>
          </w:tcPr>
          <w:p w14:paraId="0CF4EAE0" w14:textId="77777777" w:rsidR="00243DE8" w:rsidRPr="00A82B1F" w:rsidRDefault="00243DE8" w:rsidP="00243DE8">
            <w:pPr>
              <w:pStyle w:val="Numbered"/>
              <w:numPr>
                <w:ilvl w:val="0"/>
                <w:numId w:val="0"/>
              </w:numPr>
              <w:spacing w:before="0"/>
              <w:rPr>
                <w:sz w:val="20"/>
                <w:szCs w:val="20"/>
              </w:rPr>
            </w:pPr>
          </w:p>
        </w:tc>
        <w:tc>
          <w:tcPr>
            <w:tcW w:w="567" w:type="dxa"/>
            <w:shd w:val="clear" w:color="auto" w:fill="auto"/>
          </w:tcPr>
          <w:p w14:paraId="2AE3443B" w14:textId="77777777" w:rsidR="00243DE8" w:rsidRPr="00A82B1F" w:rsidRDefault="00243DE8" w:rsidP="00243DE8">
            <w:pPr>
              <w:pStyle w:val="Numbered"/>
              <w:numPr>
                <w:ilvl w:val="0"/>
                <w:numId w:val="0"/>
              </w:numPr>
              <w:spacing w:before="0"/>
              <w:rPr>
                <w:sz w:val="20"/>
                <w:szCs w:val="20"/>
              </w:rPr>
            </w:pPr>
          </w:p>
        </w:tc>
        <w:tc>
          <w:tcPr>
            <w:tcW w:w="851" w:type="dxa"/>
            <w:shd w:val="clear" w:color="auto" w:fill="FFC399" w:themeFill="accent5" w:themeFillTint="66"/>
          </w:tcPr>
          <w:p w14:paraId="6BBD4F64" w14:textId="77777777" w:rsidR="00243DE8" w:rsidRPr="00A82B1F" w:rsidRDefault="00243DE8" w:rsidP="00243DE8">
            <w:pPr>
              <w:pStyle w:val="Numbered"/>
              <w:numPr>
                <w:ilvl w:val="0"/>
                <w:numId w:val="0"/>
              </w:numPr>
              <w:spacing w:before="0"/>
              <w:rPr>
                <w:sz w:val="20"/>
                <w:szCs w:val="20"/>
              </w:rPr>
            </w:pPr>
          </w:p>
        </w:tc>
        <w:tc>
          <w:tcPr>
            <w:tcW w:w="4207" w:type="dxa"/>
            <w:shd w:val="clear" w:color="auto" w:fill="FFE1CC" w:themeFill="accent5" w:themeFillTint="33"/>
          </w:tcPr>
          <w:p w14:paraId="65AB2A80" w14:textId="5E55BCEA" w:rsidR="00243DE8" w:rsidRPr="00A82B1F" w:rsidRDefault="00243DE8" w:rsidP="00243DE8">
            <w:pPr>
              <w:pStyle w:val="Numbered"/>
              <w:numPr>
                <w:ilvl w:val="0"/>
                <w:numId w:val="0"/>
              </w:numPr>
              <w:spacing w:before="0"/>
              <w:rPr>
                <w:sz w:val="20"/>
                <w:szCs w:val="20"/>
              </w:rPr>
            </w:pPr>
            <w:r w:rsidRPr="00A82B1F">
              <w:rPr>
                <w:sz w:val="20"/>
                <w:szCs w:val="20"/>
              </w:rPr>
              <w:t>Written approval</w:t>
            </w:r>
            <w:r>
              <w:rPr>
                <w:sz w:val="20"/>
                <w:szCs w:val="20"/>
              </w:rPr>
              <w:t xml:space="preserve"> and i</w:t>
            </w:r>
            <w:r w:rsidRPr="00A82B1F">
              <w:rPr>
                <w:sz w:val="20"/>
                <w:szCs w:val="20"/>
              </w:rPr>
              <w:t>n supply agreement</w:t>
            </w:r>
            <w:r>
              <w:rPr>
                <w:sz w:val="20"/>
                <w:szCs w:val="20"/>
              </w:rPr>
              <w:t>, and r</w:t>
            </w:r>
            <w:r w:rsidRPr="00A82B1F">
              <w:rPr>
                <w:sz w:val="20"/>
                <w:szCs w:val="20"/>
              </w:rPr>
              <w:t>easonable in the circumstances</w:t>
            </w:r>
            <w:r>
              <w:rPr>
                <w:sz w:val="20"/>
                <w:szCs w:val="20"/>
              </w:rPr>
              <w:t>.</w:t>
            </w:r>
          </w:p>
        </w:tc>
      </w:tr>
      <w:tr w:rsidR="00243DE8" w14:paraId="61FA8AAA" w14:textId="77777777" w:rsidTr="00243DE8">
        <w:tc>
          <w:tcPr>
            <w:tcW w:w="2977" w:type="dxa"/>
          </w:tcPr>
          <w:p w14:paraId="228F4DB8" w14:textId="77777777" w:rsidR="00243DE8" w:rsidRPr="00A82B1F" w:rsidRDefault="00243DE8" w:rsidP="00243DE8">
            <w:pPr>
              <w:pStyle w:val="Numbered"/>
              <w:numPr>
                <w:ilvl w:val="0"/>
                <w:numId w:val="0"/>
              </w:numPr>
              <w:spacing w:before="0"/>
              <w:rPr>
                <w:sz w:val="20"/>
                <w:szCs w:val="20"/>
              </w:rPr>
            </w:pPr>
            <w:r w:rsidRPr="00A82B1F">
              <w:rPr>
                <w:sz w:val="20"/>
                <w:szCs w:val="20"/>
              </w:rPr>
              <w:t xml:space="preserve">Price increases </w:t>
            </w:r>
          </w:p>
        </w:tc>
        <w:tc>
          <w:tcPr>
            <w:tcW w:w="567" w:type="dxa"/>
            <w:shd w:val="clear" w:color="auto" w:fill="auto"/>
          </w:tcPr>
          <w:p w14:paraId="6EA55E6A" w14:textId="77777777" w:rsidR="00243DE8" w:rsidRPr="00A82B1F" w:rsidRDefault="00243DE8" w:rsidP="00243DE8">
            <w:pPr>
              <w:pStyle w:val="Numbered"/>
              <w:numPr>
                <w:ilvl w:val="0"/>
                <w:numId w:val="0"/>
              </w:numPr>
              <w:spacing w:before="0"/>
              <w:rPr>
                <w:sz w:val="20"/>
                <w:szCs w:val="20"/>
              </w:rPr>
            </w:pPr>
          </w:p>
        </w:tc>
        <w:tc>
          <w:tcPr>
            <w:tcW w:w="567" w:type="dxa"/>
            <w:shd w:val="clear" w:color="auto" w:fill="FFC399" w:themeFill="accent5" w:themeFillTint="66"/>
          </w:tcPr>
          <w:p w14:paraId="5923E8CA" w14:textId="77777777" w:rsidR="00243DE8" w:rsidRPr="00A82B1F" w:rsidRDefault="00243DE8" w:rsidP="00243DE8">
            <w:pPr>
              <w:pStyle w:val="Numbered"/>
              <w:numPr>
                <w:ilvl w:val="0"/>
                <w:numId w:val="0"/>
              </w:numPr>
              <w:spacing w:before="0"/>
              <w:rPr>
                <w:sz w:val="20"/>
                <w:szCs w:val="20"/>
              </w:rPr>
            </w:pPr>
          </w:p>
        </w:tc>
        <w:tc>
          <w:tcPr>
            <w:tcW w:w="851" w:type="dxa"/>
            <w:shd w:val="clear" w:color="auto" w:fill="auto"/>
          </w:tcPr>
          <w:p w14:paraId="51A676F5" w14:textId="77777777" w:rsidR="00243DE8" w:rsidRPr="00A82B1F" w:rsidRDefault="00243DE8" w:rsidP="00243DE8">
            <w:pPr>
              <w:pStyle w:val="Numbered"/>
              <w:numPr>
                <w:ilvl w:val="0"/>
                <w:numId w:val="0"/>
              </w:numPr>
              <w:spacing w:before="0"/>
              <w:rPr>
                <w:sz w:val="20"/>
                <w:szCs w:val="20"/>
              </w:rPr>
            </w:pPr>
          </w:p>
        </w:tc>
        <w:tc>
          <w:tcPr>
            <w:tcW w:w="4207" w:type="dxa"/>
            <w:shd w:val="clear" w:color="auto" w:fill="FFE1CC" w:themeFill="accent5" w:themeFillTint="33"/>
          </w:tcPr>
          <w:p w14:paraId="7A2E6C38" w14:textId="1F9DDE8F" w:rsidR="00243DE8" w:rsidRPr="00A82B1F" w:rsidRDefault="00243DE8" w:rsidP="00243DE8">
            <w:pPr>
              <w:pStyle w:val="Numbered"/>
              <w:numPr>
                <w:ilvl w:val="0"/>
                <w:numId w:val="0"/>
              </w:numPr>
              <w:spacing w:before="0"/>
              <w:rPr>
                <w:sz w:val="20"/>
                <w:szCs w:val="20"/>
              </w:rPr>
            </w:pPr>
            <w:r w:rsidRPr="00A82B1F">
              <w:rPr>
                <w:sz w:val="20"/>
                <w:szCs w:val="20"/>
              </w:rPr>
              <w:t>Maximum response times and processes</w:t>
            </w:r>
            <w:r>
              <w:rPr>
                <w:sz w:val="20"/>
                <w:szCs w:val="20"/>
              </w:rPr>
              <w:t>.</w:t>
            </w:r>
          </w:p>
        </w:tc>
      </w:tr>
      <w:tr w:rsidR="005862F8" w14:paraId="4A3E0F80" w14:textId="77777777" w:rsidTr="00243DE8">
        <w:trPr>
          <w:trHeight w:val="129"/>
        </w:trPr>
        <w:tc>
          <w:tcPr>
            <w:tcW w:w="2977" w:type="dxa"/>
          </w:tcPr>
          <w:p w14:paraId="084A0E99" w14:textId="77777777" w:rsidR="005862F8" w:rsidRPr="00A82B1F" w:rsidRDefault="005862F8" w:rsidP="005509A4">
            <w:pPr>
              <w:pStyle w:val="Numbered"/>
              <w:numPr>
                <w:ilvl w:val="0"/>
                <w:numId w:val="0"/>
              </w:numPr>
              <w:spacing w:before="0"/>
              <w:rPr>
                <w:sz w:val="20"/>
                <w:szCs w:val="20"/>
              </w:rPr>
            </w:pPr>
            <w:r w:rsidRPr="00A82B1F">
              <w:rPr>
                <w:sz w:val="20"/>
                <w:szCs w:val="20"/>
              </w:rPr>
              <w:t>Shrinkage</w:t>
            </w:r>
          </w:p>
        </w:tc>
        <w:tc>
          <w:tcPr>
            <w:tcW w:w="567" w:type="dxa"/>
            <w:shd w:val="clear" w:color="auto" w:fill="auto"/>
          </w:tcPr>
          <w:p w14:paraId="1C1EAD05"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5FE05D73"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3D6DED4E" w14:textId="77777777" w:rsidR="005862F8" w:rsidRPr="00A82B1F" w:rsidRDefault="005862F8" w:rsidP="005509A4">
            <w:pPr>
              <w:pStyle w:val="Numbered"/>
              <w:numPr>
                <w:ilvl w:val="0"/>
                <w:numId w:val="0"/>
              </w:numPr>
              <w:spacing w:before="0"/>
              <w:rPr>
                <w:sz w:val="20"/>
                <w:szCs w:val="20"/>
              </w:rPr>
            </w:pPr>
          </w:p>
        </w:tc>
        <w:tc>
          <w:tcPr>
            <w:tcW w:w="4207" w:type="dxa"/>
            <w:shd w:val="clear" w:color="auto" w:fill="auto"/>
          </w:tcPr>
          <w:p w14:paraId="3D358BB9" w14:textId="77777777" w:rsidR="005862F8" w:rsidRPr="00A82B1F" w:rsidRDefault="005862F8" w:rsidP="005509A4">
            <w:pPr>
              <w:pStyle w:val="Numbered"/>
              <w:numPr>
                <w:ilvl w:val="0"/>
                <w:numId w:val="0"/>
              </w:numPr>
              <w:spacing w:before="0"/>
              <w:rPr>
                <w:sz w:val="20"/>
                <w:szCs w:val="20"/>
              </w:rPr>
            </w:pPr>
          </w:p>
        </w:tc>
      </w:tr>
      <w:tr w:rsidR="005862F8" w14:paraId="779AB3C5" w14:textId="77777777" w:rsidTr="00243DE8">
        <w:trPr>
          <w:trHeight w:val="303"/>
        </w:trPr>
        <w:tc>
          <w:tcPr>
            <w:tcW w:w="2977" w:type="dxa"/>
          </w:tcPr>
          <w:p w14:paraId="017D8404" w14:textId="77777777" w:rsidR="005862F8" w:rsidRPr="00A82B1F" w:rsidRDefault="005862F8" w:rsidP="005509A4">
            <w:pPr>
              <w:pStyle w:val="Numbered"/>
              <w:numPr>
                <w:ilvl w:val="0"/>
                <w:numId w:val="0"/>
              </w:numPr>
              <w:spacing w:before="0"/>
              <w:rPr>
                <w:sz w:val="20"/>
                <w:szCs w:val="20"/>
              </w:rPr>
            </w:pPr>
            <w:r w:rsidRPr="00A82B1F">
              <w:rPr>
                <w:sz w:val="20"/>
                <w:szCs w:val="20"/>
              </w:rPr>
              <w:t>Wastage</w:t>
            </w:r>
          </w:p>
        </w:tc>
        <w:tc>
          <w:tcPr>
            <w:tcW w:w="567" w:type="dxa"/>
            <w:shd w:val="clear" w:color="auto" w:fill="auto"/>
          </w:tcPr>
          <w:p w14:paraId="473E4EF1"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3C6743F3"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60A6A2C2"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74BFA7F1" w14:textId="193C6467" w:rsidR="005862F8" w:rsidRPr="00A82B1F" w:rsidRDefault="005862F8" w:rsidP="00243DE8">
            <w:pPr>
              <w:pStyle w:val="Numbered"/>
              <w:numPr>
                <w:ilvl w:val="0"/>
                <w:numId w:val="0"/>
              </w:numPr>
              <w:spacing w:before="0"/>
              <w:rPr>
                <w:sz w:val="20"/>
                <w:szCs w:val="20"/>
              </w:rPr>
            </w:pPr>
            <w:r w:rsidRPr="00A82B1F">
              <w:rPr>
                <w:sz w:val="20"/>
                <w:szCs w:val="20"/>
              </w:rPr>
              <w:t>In supply agreement</w:t>
            </w:r>
            <w:r w:rsidR="00243DE8">
              <w:rPr>
                <w:sz w:val="20"/>
                <w:szCs w:val="20"/>
              </w:rPr>
              <w:t>, and r</w:t>
            </w:r>
            <w:r w:rsidRPr="00A82B1F">
              <w:rPr>
                <w:sz w:val="20"/>
                <w:szCs w:val="20"/>
              </w:rPr>
              <w:t>easonable in the circumstances</w:t>
            </w:r>
            <w:r w:rsidR="00243DE8">
              <w:rPr>
                <w:sz w:val="20"/>
                <w:szCs w:val="20"/>
              </w:rPr>
              <w:t xml:space="preserve"> with s</w:t>
            </w:r>
            <w:r>
              <w:rPr>
                <w:sz w:val="20"/>
                <w:szCs w:val="20"/>
              </w:rPr>
              <w:t>ix-month sunset clause.</w:t>
            </w:r>
          </w:p>
        </w:tc>
      </w:tr>
      <w:tr w:rsidR="005862F8" w14:paraId="778EDCEC" w14:textId="77777777" w:rsidTr="00243DE8">
        <w:trPr>
          <w:trHeight w:val="268"/>
        </w:trPr>
        <w:tc>
          <w:tcPr>
            <w:tcW w:w="2977" w:type="dxa"/>
          </w:tcPr>
          <w:p w14:paraId="7490B7F7" w14:textId="77777777" w:rsidR="005862F8" w:rsidRPr="00A82B1F" w:rsidRDefault="005862F8" w:rsidP="005509A4">
            <w:pPr>
              <w:pStyle w:val="Numbered"/>
              <w:numPr>
                <w:ilvl w:val="0"/>
                <w:numId w:val="0"/>
              </w:numPr>
              <w:spacing w:before="0"/>
              <w:rPr>
                <w:sz w:val="20"/>
                <w:szCs w:val="20"/>
              </w:rPr>
            </w:pPr>
            <w:r w:rsidRPr="00A82B1F">
              <w:rPr>
                <w:sz w:val="20"/>
                <w:szCs w:val="20"/>
              </w:rPr>
              <w:t>Marketing costs</w:t>
            </w:r>
          </w:p>
        </w:tc>
        <w:tc>
          <w:tcPr>
            <w:tcW w:w="567" w:type="dxa"/>
            <w:shd w:val="clear" w:color="auto" w:fill="auto"/>
          </w:tcPr>
          <w:p w14:paraId="6EEE805B"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4EBF0630"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115D4545" w14:textId="77777777" w:rsidR="005862F8" w:rsidRPr="00A82B1F" w:rsidRDefault="005862F8" w:rsidP="005509A4">
            <w:pPr>
              <w:pStyle w:val="Numbered"/>
              <w:numPr>
                <w:ilvl w:val="0"/>
                <w:numId w:val="0"/>
              </w:numPr>
              <w:spacing w:before="0"/>
              <w:rPr>
                <w:sz w:val="20"/>
                <w:szCs w:val="20"/>
              </w:rPr>
            </w:pPr>
          </w:p>
        </w:tc>
        <w:tc>
          <w:tcPr>
            <w:tcW w:w="4207" w:type="dxa"/>
            <w:vMerge w:val="restart"/>
            <w:shd w:val="clear" w:color="auto" w:fill="FFE1CC" w:themeFill="accent5" w:themeFillTint="33"/>
            <w:vAlign w:val="center"/>
          </w:tcPr>
          <w:p w14:paraId="564B1F20" w14:textId="47F3996A" w:rsidR="005862F8" w:rsidRDefault="005862F8" w:rsidP="00203377">
            <w:pPr>
              <w:pStyle w:val="Numbered"/>
              <w:numPr>
                <w:ilvl w:val="0"/>
                <w:numId w:val="0"/>
              </w:numPr>
              <w:spacing w:before="0"/>
              <w:rPr>
                <w:sz w:val="20"/>
                <w:szCs w:val="20"/>
              </w:rPr>
            </w:pPr>
            <w:r>
              <w:rPr>
                <w:sz w:val="20"/>
                <w:szCs w:val="20"/>
              </w:rPr>
              <w:t>In supply agreement</w:t>
            </w:r>
            <w:r w:rsidR="00243DE8">
              <w:rPr>
                <w:sz w:val="20"/>
                <w:szCs w:val="20"/>
              </w:rPr>
              <w:t xml:space="preserve"> and r</w:t>
            </w:r>
            <w:r>
              <w:rPr>
                <w:sz w:val="20"/>
                <w:szCs w:val="20"/>
              </w:rPr>
              <w:t>easonable in the circumstances.</w:t>
            </w:r>
          </w:p>
          <w:p w14:paraId="68623DB3" w14:textId="36020274" w:rsidR="005862F8" w:rsidRDefault="005862F8" w:rsidP="005C0157">
            <w:pPr>
              <w:pStyle w:val="Numbered"/>
              <w:numPr>
                <w:ilvl w:val="0"/>
                <w:numId w:val="0"/>
              </w:numPr>
              <w:spacing w:before="0"/>
              <w:rPr>
                <w:sz w:val="20"/>
                <w:szCs w:val="20"/>
              </w:rPr>
            </w:pPr>
            <w:r>
              <w:rPr>
                <w:sz w:val="20"/>
                <w:szCs w:val="20"/>
              </w:rPr>
              <w:t xml:space="preserve">Prohibit payments not linked to specific activity and require a refund if activity not carried out. </w:t>
            </w:r>
          </w:p>
          <w:p w14:paraId="5F5268E4" w14:textId="13D17DBC" w:rsidR="005862F8" w:rsidRPr="00A82B1F" w:rsidRDefault="005862F8" w:rsidP="005509A4">
            <w:pPr>
              <w:pStyle w:val="Numbered"/>
              <w:numPr>
                <w:ilvl w:val="0"/>
                <w:numId w:val="0"/>
              </w:numPr>
              <w:spacing w:before="0"/>
              <w:rPr>
                <w:sz w:val="20"/>
                <w:szCs w:val="20"/>
              </w:rPr>
            </w:pPr>
            <w:r>
              <w:rPr>
                <w:sz w:val="20"/>
                <w:szCs w:val="20"/>
              </w:rPr>
              <w:t>Prohibit supplier fully funding promotion.</w:t>
            </w:r>
          </w:p>
        </w:tc>
      </w:tr>
      <w:tr w:rsidR="005862F8" w14:paraId="5AFF93A7" w14:textId="77777777" w:rsidTr="00243DE8">
        <w:trPr>
          <w:trHeight w:val="99"/>
        </w:trPr>
        <w:tc>
          <w:tcPr>
            <w:tcW w:w="2977" w:type="dxa"/>
          </w:tcPr>
          <w:p w14:paraId="2652407C" w14:textId="77777777" w:rsidR="005862F8" w:rsidRPr="00A82B1F" w:rsidRDefault="005862F8" w:rsidP="005509A4">
            <w:pPr>
              <w:pStyle w:val="Numbered"/>
              <w:numPr>
                <w:ilvl w:val="0"/>
                <w:numId w:val="0"/>
              </w:numPr>
              <w:spacing w:before="0"/>
              <w:rPr>
                <w:sz w:val="20"/>
                <w:szCs w:val="20"/>
              </w:rPr>
            </w:pPr>
            <w:r w:rsidRPr="00A82B1F">
              <w:rPr>
                <w:sz w:val="20"/>
                <w:szCs w:val="20"/>
              </w:rPr>
              <w:t>Product placement</w:t>
            </w:r>
          </w:p>
        </w:tc>
        <w:tc>
          <w:tcPr>
            <w:tcW w:w="567" w:type="dxa"/>
            <w:shd w:val="clear" w:color="auto" w:fill="auto"/>
          </w:tcPr>
          <w:p w14:paraId="3C80AED0"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2FBF2C44"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54120A36" w14:textId="77777777" w:rsidR="005862F8" w:rsidRPr="00A82B1F" w:rsidRDefault="005862F8" w:rsidP="005509A4">
            <w:pPr>
              <w:pStyle w:val="Numbered"/>
              <w:numPr>
                <w:ilvl w:val="0"/>
                <w:numId w:val="0"/>
              </w:numPr>
              <w:spacing w:before="0"/>
              <w:rPr>
                <w:sz w:val="20"/>
                <w:szCs w:val="20"/>
              </w:rPr>
            </w:pPr>
          </w:p>
        </w:tc>
        <w:tc>
          <w:tcPr>
            <w:tcW w:w="4207" w:type="dxa"/>
            <w:vMerge/>
          </w:tcPr>
          <w:p w14:paraId="531EADD5" w14:textId="77777777" w:rsidR="005862F8" w:rsidRPr="00A82B1F" w:rsidRDefault="005862F8" w:rsidP="005509A4">
            <w:pPr>
              <w:pStyle w:val="Numbered"/>
              <w:numPr>
                <w:ilvl w:val="0"/>
                <w:numId w:val="0"/>
              </w:numPr>
              <w:spacing w:before="0"/>
              <w:rPr>
                <w:sz w:val="20"/>
                <w:szCs w:val="20"/>
              </w:rPr>
            </w:pPr>
          </w:p>
        </w:tc>
      </w:tr>
      <w:tr w:rsidR="005862F8" w14:paraId="6F1931D7" w14:textId="77777777" w:rsidTr="00243DE8">
        <w:trPr>
          <w:trHeight w:val="47"/>
        </w:trPr>
        <w:tc>
          <w:tcPr>
            <w:tcW w:w="2977" w:type="dxa"/>
          </w:tcPr>
          <w:p w14:paraId="6756CC42" w14:textId="328D2F00" w:rsidR="005862F8" w:rsidRPr="00A82B1F" w:rsidRDefault="005862F8" w:rsidP="005C0157">
            <w:pPr>
              <w:pStyle w:val="Numbered"/>
              <w:numPr>
                <w:ilvl w:val="0"/>
                <w:numId w:val="0"/>
              </w:numPr>
              <w:spacing w:before="0"/>
              <w:rPr>
                <w:sz w:val="20"/>
                <w:szCs w:val="20"/>
              </w:rPr>
            </w:pPr>
            <w:r w:rsidRPr="00A82B1F">
              <w:rPr>
                <w:sz w:val="20"/>
                <w:szCs w:val="20"/>
              </w:rPr>
              <w:t>Payments as condition of supply</w:t>
            </w:r>
          </w:p>
        </w:tc>
        <w:tc>
          <w:tcPr>
            <w:tcW w:w="567" w:type="dxa"/>
            <w:shd w:val="clear" w:color="auto" w:fill="auto"/>
          </w:tcPr>
          <w:p w14:paraId="07E6E61C"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40166363"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35EFB50B" w14:textId="77777777" w:rsidR="005862F8" w:rsidRPr="00A82B1F" w:rsidRDefault="005862F8" w:rsidP="005509A4">
            <w:pPr>
              <w:pStyle w:val="Numbered"/>
              <w:numPr>
                <w:ilvl w:val="0"/>
                <w:numId w:val="0"/>
              </w:numPr>
              <w:spacing w:before="0"/>
              <w:rPr>
                <w:sz w:val="20"/>
                <w:szCs w:val="20"/>
              </w:rPr>
            </w:pPr>
          </w:p>
        </w:tc>
        <w:tc>
          <w:tcPr>
            <w:tcW w:w="4207" w:type="dxa"/>
            <w:vMerge/>
          </w:tcPr>
          <w:p w14:paraId="480125F0" w14:textId="77777777" w:rsidR="005862F8" w:rsidRPr="00A82B1F" w:rsidRDefault="005862F8" w:rsidP="005509A4">
            <w:pPr>
              <w:pStyle w:val="Numbered"/>
              <w:numPr>
                <w:ilvl w:val="0"/>
                <w:numId w:val="0"/>
              </w:numPr>
              <w:spacing w:before="0"/>
              <w:rPr>
                <w:sz w:val="20"/>
                <w:szCs w:val="20"/>
              </w:rPr>
            </w:pPr>
          </w:p>
        </w:tc>
      </w:tr>
      <w:tr w:rsidR="005862F8" w14:paraId="20755F68" w14:textId="77777777" w:rsidTr="00243DE8">
        <w:trPr>
          <w:trHeight w:val="435"/>
        </w:trPr>
        <w:tc>
          <w:tcPr>
            <w:tcW w:w="2977" w:type="dxa"/>
          </w:tcPr>
          <w:p w14:paraId="11383724" w14:textId="77777777" w:rsidR="005862F8" w:rsidRPr="00A82B1F" w:rsidRDefault="005862F8" w:rsidP="005509A4">
            <w:pPr>
              <w:pStyle w:val="Numbered"/>
              <w:numPr>
                <w:ilvl w:val="0"/>
                <w:numId w:val="0"/>
              </w:numPr>
              <w:spacing w:before="0"/>
              <w:rPr>
                <w:sz w:val="20"/>
                <w:szCs w:val="20"/>
              </w:rPr>
            </w:pPr>
            <w:r w:rsidRPr="00A82B1F">
              <w:rPr>
                <w:sz w:val="20"/>
                <w:szCs w:val="20"/>
              </w:rPr>
              <w:t>Promotional payments</w:t>
            </w:r>
          </w:p>
        </w:tc>
        <w:tc>
          <w:tcPr>
            <w:tcW w:w="567" w:type="dxa"/>
            <w:shd w:val="clear" w:color="auto" w:fill="auto"/>
          </w:tcPr>
          <w:p w14:paraId="34A811AF" w14:textId="77777777" w:rsidR="005862F8" w:rsidRPr="00A82B1F" w:rsidRDefault="005862F8" w:rsidP="005509A4">
            <w:pPr>
              <w:pStyle w:val="Numbered"/>
              <w:numPr>
                <w:ilvl w:val="0"/>
                <w:numId w:val="0"/>
              </w:numPr>
              <w:spacing w:before="0"/>
              <w:rPr>
                <w:sz w:val="20"/>
                <w:szCs w:val="20"/>
              </w:rPr>
            </w:pPr>
          </w:p>
        </w:tc>
        <w:tc>
          <w:tcPr>
            <w:tcW w:w="567" w:type="dxa"/>
            <w:shd w:val="clear" w:color="auto" w:fill="auto"/>
          </w:tcPr>
          <w:p w14:paraId="2EBB237E" w14:textId="77777777" w:rsidR="005862F8" w:rsidRPr="00A82B1F" w:rsidRDefault="005862F8" w:rsidP="005509A4">
            <w:pPr>
              <w:pStyle w:val="Numbered"/>
              <w:numPr>
                <w:ilvl w:val="0"/>
                <w:numId w:val="0"/>
              </w:numPr>
              <w:spacing w:before="0"/>
              <w:rPr>
                <w:sz w:val="20"/>
                <w:szCs w:val="20"/>
              </w:rPr>
            </w:pPr>
          </w:p>
        </w:tc>
        <w:tc>
          <w:tcPr>
            <w:tcW w:w="851" w:type="dxa"/>
            <w:shd w:val="clear" w:color="auto" w:fill="FFC399" w:themeFill="accent5" w:themeFillTint="66"/>
          </w:tcPr>
          <w:p w14:paraId="5C4D6619" w14:textId="77777777" w:rsidR="005862F8" w:rsidRPr="00A82B1F" w:rsidRDefault="005862F8" w:rsidP="005509A4">
            <w:pPr>
              <w:pStyle w:val="Numbered"/>
              <w:numPr>
                <w:ilvl w:val="0"/>
                <w:numId w:val="0"/>
              </w:numPr>
              <w:spacing w:before="0"/>
              <w:rPr>
                <w:sz w:val="20"/>
                <w:szCs w:val="20"/>
              </w:rPr>
            </w:pPr>
          </w:p>
        </w:tc>
        <w:tc>
          <w:tcPr>
            <w:tcW w:w="4207" w:type="dxa"/>
            <w:vMerge/>
          </w:tcPr>
          <w:p w14:paraId="2052B84F" w14:textId="77777777" w:rsidR="005862F8" w:rsidRPr="00A82B1F" w:rsidRDefault="005862F8" w:rsidP="005509A4">
            <w:pPr>
              <w:pStyle w:val="Numbered"/>
              <w:numPr>
                <w:ilvl w:val="0"/>
                <w:numId w:val="0"/>
              </w:numPr>
              <w:spacing w:before="0"/>
              <w:rPr>
                <w:sz w:val="20"/>
                <w:szCs w:val="20"/>
              </w:rPr>
            </w:pPr>
          </w:p>
        </w:tc>
      </w:tr>
      <w:tr w:rsidR="005862F8" w14:paraId="6031AE18" w14:textId="77777777" w:rsidTr="00243DE8">
        <w:trPr>
          <w:trHeight w:val="377"/>
        </w:trPr>
        <w:tc>
          <w:tcPr>
            <w:tcW w:w="2977" w:type="dxa"/>
          </w:tcPr>
          <w:p w14:paraId="2BDF8D41" w14:textId="77777777" w:rsidR="005862F8" w:rsidRPr="00A82B1F" w:rsidRDefault="005862F8" w:rsidP="005509A4">
            <w:pPr>
              <w:pStyle w:val="Numbered"/>
              <w:numPr>
                <w:ilvl w:val="0"/>
                <w:numId w:val="0"/>
              </w:numPr>
              <w:spacing w:before="0"/>
              <w:rPr>
                <w:sz w:val="20"/>
                <w:szCs w:val="20"/>
              </w:rPr>
            </w:pPr>
            <w:r w:rsidRPr="00A82B1F">
              <w:rPr>
                <w:sz w:val="20"/>
                <w:szCs w:val="20"/>
              </w:rPr>
              <w:t>Promotional buying</w:t>
            </w:r>
          </w:p>
        </w:tc>
        <w:tc>
          <w:tcPr>
            <w:tcW w:w="567" w:type="dxa"/>
            <w:shd w:val="clear" w:color="auto" w:fill="auto"/>
          </w:tcPr>
          <w:p w14:paraId="3A3AB6FA" w14:textId="77777777" w:rsidR="005862F8" w:rsidRPr="00A82B1F" w:rsidRDefault="005862F8" w:rsidP="005509A4">
            <w:pPr>
              <w:pStyle w:val="Numbered"/>
              <w:numPr>
                <w:ilvl w:val="0"/>
                <w:numId w:val="0"/>
              </w:numPr>
              <w:spacing w:before="0"/>
              <w:rPr>
                <w:sz w:val="20"/>
                <w:szCs w:val="20"/>
              </w:rPr>
            </w:pPr>
          </w:p>
        </w:tc>
        <w:tc>
          <w:tcPr>
            <w:tcW w:w="567" w:type="dxa"/>
            <w:shd w:val="clear" w:color="auto" w:fill="FFC399" w:themeFill="accent5" w:themeFillTint="66"/>
          </w:tcPr>
          <w:p w14:paraId="798A6FC8" w14:textId="77777777" w:rsidR="005862F8" w:rsidRPr="00A82B1F" w:rsidRDefault="005862F8" w:rsidP="005509A4">
            <w:pPr>
              <w:pStyle w:val="Numbered"/>
              <w:numPr>
                <w:ilvl w:val="0"/>
                <w:numId w:val="0"/>
              </w:numPr>
              <w:spacing w:before="0"/>
              <w:rPr>
                <w:sz w:val="20"/>
                <w:szCs w:val="20"/>
              </w:rPr>
            </w:pPr>
          </w:p>
        </w:tc>
        <w:tc>
          <w:tcPr>
            <w:tcW w:w="851" w:type="dxa"/>
            <w:shd w:val="clear" w:color="auto" w:fill="auto"/>
          </w:tcPr>
          <w:p w14:paraId="4EEF3920" w14:textId="77777777" w:rsidR="005862F8" w:rsidRPr="00A82B1F" w:rsidRDefault="005862F8" w:rsidP="005509A4">
            <w:pPr>
              <w:pStyle w:val="Numbered"/>
              <w:numPr>
                <w:ilvl w:val="0"/>
                <w:numId w:val="0"/>
              </w:numPr>
              <w:spacing w:before="0"/>
              <w:rPr>
                <w:sz w:val="20"/>
                <w:szCs w:val="20"/>
              </w:rPr>
            </w:pPr>
          </w:p>
        </w:tc>
        <w:tc>
          <w:tcPr>
            <w:tcW w:w="4207" w:type="dxa"/>
            <w:shd w:val="clear" w:color="auto" w:fill="FFE1CC" w:themeFill="accent5" w:themeFillTint="33"/>
          </w:tcPr>
          <w:p w14:paraId="2F1BFFD0" w14:textId="6E13462E" w:rsidR="005862F8" w:rsidRPr="00A82B1F" w:rsidRDefault="005862F8" w:rsidP="00243DE8">
            <w:pPr>
              <w:pStyle w:val="Numbered"/>
              <w:numPr>
                <w:ilvl w:val="0"/>
                <w:numId w:val="0"/>
              </w:numPr>
              <w:spacing w:before="0"/>
              <w:rPr>
                <w:sz w:val="20"/>
                <w:szCs w:val="20"/>
              </w:rPr>
            </w:pPr>
            <w:r w:rsidRPr="00A82B1F">
              <w:rPr>
                <w:sz w:val="20"/>
                <w:szCs w:val="20"/>
              </w:rPr>
              <w:t>Care to be taken</w:t>
            </w:r>
            <w:r w:rsidR="00243DE8">
              <w:rPr>
                <w:sz w:val="20"/>
                <w:szCs w:val="20"/>
              </w:rPr>
              <w:t>, but investment b</w:t>
            </w:r>
            <w:r>
              <w:rPr>
                <w:sz w:val="20"/>
                <w:szCs w:val="20"/>
              </w:rPr>
              <w:t xml:space="preserve">uying </w:t>
            </w:r>
            <w:r w:rsidR="00243DE8">
              <w:rPr>
                <w:sz w:val="20"/>
                <w:szCs w:val="20"/>
              </w:rPr>
              <w:t xml:space="preserve">allowed as provided </w:t>
            </w:r>
            <w:r>
              <w:rPr>
                <w:sz w:val="20"/>
                <w:szCs w:val="20"/>
              </w:rPr>
              <w:t xml:space="preserve">in </w:t>
            </w:r>
            <w:r w:rsidR="00243DE8">
              <w:rPr>
                <w:sz w:val="20"/>
                <w:szCs w:val="20"/>
              </w:rPr>
              <w:t xml:space="preserve">grocery </w:t>
            </w:r>
            <w:r>
              <w:rPr>
                <w:sz w:val="20"/>
                <w:szCs w:val="20"/>
              </w:rPr>
              <w:t>supply agreement.</w:t>
            </w:r>
          </w:p>
        </w:tc>
      </w:tr>
    </w:tbl>
    <w:p w14:paraId="43B5088E" w14:textId="77777777" w:rsidR="00203377" w:rsidRDefault="00203377" w:rsidP="00203377">
      <w:pPr>
        <w:spacing w:after="0"/>
      </w:pPr>
    </w:p>
    <w:tbl>
      <w:tblPr>
        <w:tblStyle w:val="TableGrid"/>
        <w:tblW w:w="9204"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Layout w:type="fixed"/>
        <w:tblCellMar>
          <w:top w:w="85" w:type="dxa"/>
          <w:bottom w:w="85" w:type="dxa"/>
        </w:tblCellMar>
        <w:tblLook w:val="04A0" w:firstRow="1" w:lastRow="0" w:firstColumn="1" w:lastColumn="0" w:noHBand="0" w:noVBand="1"/>
      </w:tblPr>
      <w:tblGrid>
        <w:gridCol w:w="1011"/>
        <w:gridCol w:w="2391"/>
        <w:gridCol w:w="2826"/>
        <w:gridCol w:w="2976"/>
      </w:tblGrid>
      <w:tr w:rsidR="003A41DA" w:rsidRPr="00D17979" w14:paraId="2D405226" w14:textId="77777777" w:rsidTr="00203377">
        <w:tc>
          <w:tcPr>
            <w:tcW w:w="1011" w:type="dxa"/>
            <w:shd w:val="clear" w:color="auto" w:fill="D9D9D9" w:themeFill="background1" w:themeFillShade="D9"/>
          </w:tcPr>
          <w:p w14:paraId="64CD1343" w14:textId="77777777" w:rsidR="003A41DA" w:rsidRPr="005239EF" w:rsidRDefault="003A41DA" w:rsidP="003A41DA">
            <w:pPr>
              <w:pStyle w:val="Numbered"/>
              <w:numPr>
                <w:ilvl w:val="0"/>
                <w:numId w:val="0"/>
              </w:numPr>
              <w:spacing w:before="0"/>
              <w:rPr>
                <w:b/>
                <w:bCs/>
              </w:rPr>
            </w:pPr>
            <w:bookmarkStart w:id="198" w:name="_Hlk103942974"/>
          </w:p>
        </w:tc>
        <w:tc>
          <w:tcPr>
            <w:tcW w:w="2391" w:type="dxa"/>
            <w:shd w:val="clear" w:color="auto" w:fill="D9D9D9" w:themeFill="background1" w:themeFillShade="D9"/>
          </w:tcPr>
          <w:p w14:paraId="7CC24D0D" w14:textId="3510AD03" w:rsidR="003A41DA" w:rsidRPr="00D17979" w:rsidRDefault="003A41DA" w:rsidP="00B52390">
            <w:pPr>
              <w:pStyle w:val="Numbered"/>
              <w:numPr>
                <w:ilvl w:val="0"/>
                <w:numId w:val="0"/>
              </w:numPr>
              <w:tabs>
                <w:tab w:val="left" w:pos="1428"/>
              </w:tabs>
              <w:spacing w:before="0"/>
              <w:rPr>
                <w:b/>
                <w:bCs/>
              </w:rPr>
            </w:pPr>
            <w:r w:rsidRPr="00A82B1F">
              <w:rPr>
                <w:b/>
                <w:bCs/>
              </w:rPr>
              <w:t>Option 1 Principle-based Code</w:t>
            </w:r>
          </w:p>
        </w:tc>
        <w:tc>
          <w:tcPr>
            <w:tcW w:w="2826" w:type="dxa"/>
            <w:shd w:val="clear" w:color="auto" w:fill="D9D9D9" w:themeFill="background1" w:themeFillShade="D9"/>
          </w:tcPr>
          <w:p w14:paraId="4512D7EB" w14:textId="2E71698B" w:rsidR="003A41DA" w:rsidRDefault="003A41DA" w:rsidP="00B52390">
            <w:pPr>
              <w:pStyle w:val="Numbered"/>
              <w:numPr>
                <w:ilvl w:val="0"/>
                <w:numId w:val="0"/>
              </w:numPr>
              <w:spacing w:before="0"/>
              <w:rPr>
                <w:b/>
                <w:bCs/>
              </w:rPr>
            </w:pPr>
            <w:r w:rsidRPr="00A82B1F">
              <w:rPr>
                <w:b/>
                <w:bCs/>
              </w:rPr>
              <w:t xml:space="preserve">Option 2 </w:t>
            </w:r>
            <w:r w:rsidR="00D3390A" w:rsidRPr="00D3390A">
              <w:rPr>
                <w:b/>
                <w:bCs/>
              </w:rPr>
              <w:t>Prescriptive Cod</w:t>
            </w:r>
            <w:r w:rsidR="00D3390A">
              <w:rPr>
                <w:b/>
                <w:bCs/>
              </w:rPr>
              <w:t>e</w:t>
            </w:r>
          </w:p>
        </w:tc>
        <w:tc>
          <w:tcPr>
            <w:tcW w:w="2976" w:type="dxa"/>
            <w:shd w:val="clear" w:color="auto" w:fill="D9D9D9" w:themeFill="background1" w:themeFillShade="D9"/>
          </w:tcPr>
          <w:p w14:paraId="7EF2374C" w14:textId="77194232" w:rsidR="003A41DA" w:rsidRDefault="003A41DA" w:rsidP="00B52390">
            <w:pPr>
              <w:pStyle w:val="Numbered"/>
              <w:numPr>
                <w:ilvl w:val="0"/>
                <w:numId w:val="0"/>
              </w:numPr>
              <w:spacing w:before="0"/>
              <w:rPr>
                <w:b/>
                <w:bCs/>
              </w:rPr>
            </w:pPr>
            <w:r w:rsidRPr="00A82B1F">
              <w:rPr>
                <w:b/>
                <w:bCs/>
              </w:rPr>
              <w:t xml:space="preserve">Option 3 </w:t>
            </w:r>
            <w:r w:rsidR="00D3390A" w:rsidRPr="00D3390A">
              <w:rPr>
                <w:b/>
                <w:bCs/>
              </w:rPr>
              <w:t xml:space="preserve">Alternative </w:t>
            </w:r>
            <w:r w:rsidRPr="00A82B1F">
              <w:rPr>
                <w:b/>
                <w:bCs/>
              </w:rPr>
              <w:t>Code</w:t>
            </w:r>
          </w:p>
        </w:tc>
      </w:tr>
      <w:tr w:rsidR="00CD3761" w:rsidRPr="00D17979" w14:paraId="0E4A7CC7" w14:textId="77777777" w:rsidTr="00203377">
        <w:tc>
          <w:tcPr>
            <w:tcW w:w="1011" w:type="dxa"/>
            <w:shd w:val="clear" w:color="auto" w:fill="D9D9D9" w:themeFill="background1" w:themeFillShade="D9"/>
          </w:tcPr>
          <w:p w14:paraId="68468F20" w14:textId="77777777" w:rsidR="00CD3761" w:rsidRDefault="00CD3761" w:rsidP="00CD3761">
            <w:pPr>
              <w:pStyle w:val="Numbered"/>
              <w:numPr>
                <w:ilvl w:val="0"/>
                <w:numId w:val="0"/>
              </w:numPr>
              <w:spacing w:before="0"/>
              <w:rPr>
                <w:b/>
                <w:bCs/>
              </w:rPr>
            </w:pPr>
            <w:r>
              <w:rPr>
                <w:b/>
                <w:bCs/>
              </w:rPr>
              <w:t>Effective</w:t>
            </w:r>
          </w:p>
          <w:p w14:paraId="130AC115" w14:textId="45071D11" w:rsidR="00CD3761" w:rsidRDefault="00CD3761" w:rsidP="00CD3761">
            <w:pPr>
              <w:pStyle w:val="Numbered"/>
              <w:numPr>
                <w:ilvl w:val="0"/>
                <w:numId w:val="0"/>
              </w:numPr>
              <w:spacing w:before="0"/>
              <w:rPr>
                <w:b/>
                <w:bCs/>
              </w:rPr>
            </w:pPr>
          </w:p>
        </w:tc>
        <w:tc>
          <w:tcPr>
            <w:tcW w:w="2391" w:type="dxa"/>
            <w:shd w:val="clear" w:color="auto" w:fill="D9D9D9" w:themeFill="background1" w:themeFillShade="D9"/>
          </w:tcPr>
          <w:p w14:paraId="306C25AA" w14:textId="65CECC4C" w:rsidR="00CD3761" w:rsidRPr="00296F1E" w:rsidRDefault="00CD3761" w:rsidP="00CD3761">
            <w:pPr>
              <w:pStyle w:val="Numbered"/>
              <w:numPr>
                <w:ilvl w:val="0"/>
                <w:numId w:val="0"/>
              </w:numPr>
              <w:spacing w:before="0"/>
              <w:rPr>
                <w:sz w:val="20"/>
                <w:szCs w:val="20"/>
              </w:rPr>
            </w:pPr>
            <w:r w:rsidRPr="00296F1E">
              <w:rPr>
                <w:sz w:val="20"/>
                <w:szCs w:val="20"/>
              </w:rPr>
              <w:t>+</w:t>
            </w:r>
            <w:r w:rsidR="007050AD">
              <w:rPr>
                <w:sz w:val="20"/>
                <w:szCs w:val="20"/>
              </w:rPr>
              <w:t>1.5</w:t>
            </w:r>
          </w:p>
          <w:p w14:paraId="50C2E08F" w14:textId="1DDFF43A" w:rsidR="007050AD" w:rsidRDefault="007050AD" w:rsidP="00CD3761">
            <w:pPr>
              <w:pStyle w:val="Numbered"/>
              <w:numPr>
                <w:ilvl w:val="0"/>
                <w:numId w:val="0"/>
              </w:numPr>
              <w:spacing w:before="0"/>
              <w:rPr>
                <w:sz w:val="20"/>
                <w:szCs w:val="20"/>
              </w:rPr>
            </w:pPr>
            <w:r>
              <w:rPr>
                <w:sz w:val="20"/>
                <w:szCs w:val="20"/>
              </w:rPr>
              <w:t xml:space="preserve">Clear principles addressing most areas. </w:t>
            </w:r>
          </w:p>
          <w:p w14:paraId="6071D98E" w14:textId="18DB5A42" w:rsidR="00CD3761" w:rsidRPr="00D17979" w:rsidRDefault="007050AD" w:rsidP="00CD3761">
            <w:pPr>
              <w:pStyle w:val="Numbered"/>
              <w:numPr>
                <w:ilvl w:val="0"/>
                <w:numId w:val="0"/>
              </w:numPr>
              <w:spacing w:before="0"/>
              <w:rPr>
                <w:b/>
                <w:bCs/>
              </w:rPr>
            </w:pPr>
            <w:r>
              <w:rPr>
                <w:sz w:val="20"/>
                <w:szCs w:val="20"/>
              </w:rPr>
              <w:t>Exceptions to principles are not the best alignment with industry needs, eg</w:t>
            </w:r>
            <w:r w:rsidR="00CD3761">
              <w:rPr>
                <w:sz w:val="20"/>
                <w:szCs w:val="20"/>
              </w:rPr>
              <w:t xml:space="preserve"> provisions relating</w:t>
            </w:r>
            <w:r w:rsidR="00C57ED1">
              <w:rPr>
                <w:sz w:val="20"/>
                <w:szCs w:val="20"/>
              </w:rPr>
              <w:t xml:space="preserve"> to</w:t>
            </w:r>
            <w:r w:rsidR="00CD3761">
              <w:rPr>
                <w:sz w:val="20"/>
                <w:szCs w:val="20"/>
              </w:rPr>
              <w:t xml:space="preserve"> promotional payments, set-offs, and retailer’s business activities. </w:t>
            </w:r>
          </w:p>
        </w:tc>
        <w:tc>
          <w:tcPr>
            <w:tcW w:w="2826" w:type="dxa"/>
            <w:shd w:val="clear" w:color="auto" w:fill="D9D9D9" w:themeFill="background1" w:themeFillShade="D9"/>
          </w:tcPr>
          <w:p w14:paraId="1C7157BA" w14:textId="77777777" w:rsidR="00CD3761" w:rsidRPr="00296F1E" w:rsidRDefault="00CD3761" w:rsidP="00CD3761">
            <w:pPr>
              <w:pStyle w:val="Numbered"/>
              <w:numPr>
                <w:ilvl w:val="0"/>
                <w:numId w:val="0"/>
              </w:numPr>
              <w:spacing w:before="0"/>
              <w:rPr>
                <w:sz w:val="20"/>
                <w:szCs w:val="20"/>
              </w:rPr>
            </w:pPr>
            <w:r w:rsidRPr="00296F1E">
              <w:rPr>
                <w:sz w:val="20"/>
                <w:szCs w:val="20"/>
              </w:rPr>
              <w:t>+2</w:t>
            </w:r>
          </w:p>
          <w:p w14:paraId="0AB3FF1F" w14:textId="433F38D6" w:rsidR="00CD3761" w:rsidRPr="00D17979" w:rsidRDefault="00CD3761" w:rsidP="00CD3761">
            <w:pPr>
              <w:pStyle w:val="Numbered"/>
              <w:numPr>
                <w:ilvl w:val="0"/>
                <w:numId w:val="0"/>
              </w:numPr>
              <w:spacing w:before="0"/>
              <w:rPr>
                <w:b/>
                <w:bCs/>
              </w:rPr>
            </w:pPr>
            <w:r>
              <w:rPr>
                <w:sz w:val="20"/>
                <w:szCs w:val="20"/>
              </w:rPr>
              <w:t xml:space="preserve">Prohibition of set-offs, and clear direction on where costs should lie, including in relation to promotions – while allowing for contracting out as reasonable in the circumstances – make this an effective option for promoting competition. </w:t>
            </w:r>
            <w:r w:rsidRPr="00296F1E">
              <w:rPr>
                <w:sz w:val="20"/>
                <w:szCs w:val="20"/>
              </w:rPr>
              <w:t xml:space="preserve"> </w:t>
            </w:r>
          </w:p>
        </w:tc>
        <w:tc>
          <w:tcPr>
            <w:tcW w:w="2976" w:type="dxa"/>
            <w:shd w:val="clear" w:color="auto" w:fill="D9D9D9" w:themeFill="background1" w:themeFillShade="D9"/>
          </w:tcPr>
          <w:p w14:paraId="6B744168" w14:textId="4D9E9BAE" w:rsidR="00CD3761" w:rsidRPr="00296F1E" w:rsidRDefault="00CD3761" w:rsidP="00CD3761">
            <w:pPr>
              <w:pStyle w:val="Numbered"/>
              <w:numPr>
                <w:ilvl w:val="0"/>
                <w:numId w:val="0"/>
              </w:numPr>
              <w:spacing w:before="0"/>
              <w:rPr>
                <w:sz w:val="20"/>
                <w:szCs w:val="20"/>
              </w:rPr>
            </w:pPr>
            <w:r w:rsidRPr="00296F1E">
              <w:rPr>
                <w:sz w:val="20"/>
                <w:szCs w:val="20"/>
              </w:rPr>
              <w:t>+</w:t>
            </w:r>
            <w:r w:rsidR="00A06B1E">
              <w:rPr>
                <w:sz w:val="20"/>
                <w:szCs w:val="20"/>
              </w:rPr>
              <w:t>3</w:t>
            </w:r>
          </w:p>
          <w:p w14:paraId="364EF645" w14:textId="137618E8" w:rsidR="00CD3761" w:rsidRPr="00D17979" w:rsidRDefault="006D0956" w:rsidP="00CD3761">
            <w:pPr>
              <w:pStyle w:val="Numbered"/>
              <w:numPr>
                <w:ilvl w:val="0"/>
                <w:numId w:val="0"/>
              </w:numPr>
              <w:spacing w:before="0"/>
              <w:rPr>
                <w:b/>
                <w:bCs/>
              </w:rPr>
            </w:pPr>
            <w:r>
              <w:rPr>
                <w:sz w:val="20"/>
                <w:szCs w:val="20"/>
              </w:rPr>
              <w:t>Highly effective and targeted to New Zealand requirements, such as a</w:t>
            </w:r>
            <w:r w:rsidR="00CD3761">
              <w:rPr>
                <w:sz w:val="20"/>
                <w:szCs w:val="20"/>
              </w:rPr>
              <w:t xml:space="preserve">llowing for </w:t>
            </w:r>
            <w:r w:rsidR="00A06B1E">
              <w:rPr>
                <w:sz w:val="20"/>
                <w:szCs w:val="20"/>
              </w:rPr>
              <w:t>investment</w:t>
            </w:r>
            <w:r w:rsidR="00CD3761">
              <w:rPr>
                <w:sz w:val="20"/>
                <w:szCs w:val="20"/>
              </w:rPr>
              <w:t xml:space="preserve"> buying while also clearly directing where costs/benefits (eg wastage) should lie makes this option fit the current market best.  </w:t>
            </w:r>
          </w:p>
        </w:tc>
      </w:tr>
      <w:tr w:rsidR="00CD3761" w:rsidRPr="00D17979" w14:paraId="6D944FD1" w14:textId="77777777" w:rsidTr="00203377">
        <w:tc>
          <w:tcPr>
            <w:tcW w:w="1011" w:type="dxa"/>
            <w:shd w:val="clear" w:color="auto" w:fill="D9D9D9" w:themeFill="background1" w:themeFillShade="D9"/>
          </w:tcPr>
          <w:p w14:paraId="75EDA01B" w14:textId="77777777" w:rsidR="00CD3761" w:rsidRDefault="00CD3761" w:rsidP="00CD3761">
            <w:pPr>
              <w:pStyle w:val="Numbered"/>
              <w:numPr>
                <w:ilvl w:val="0"/>
                <w:numId w:val="0"/>
              </w:numPr>
              <w:spacing w:before="0"/>
              <w:rPr>
                <w:i/>
                <w:iCs/>
                <w:sz w:val="20"/>
                <w:szCs w:val="20"/>
              </w:rPr>
            </w:pPr>
            <w:r>
              <w:rPr>
                <w:b/>
                <w:bCs/>
              </w:rPr>
              <w:t>Efficient</w:t>
            </w:r>
            <w:r w:rsidRPr="00D17979">
              <w:rPr>
                <w:i/>
                <w:iCs/>
                <w:sz w:val="20"/>
                <w:szCs w:val="20"/>
              </w:rPr>
              <w:t xml:space="preserve"> </w:t>
            </w:r>
          </w:p>
          <w:p w14:paraId="2DAC5356" w14:textId="3CF2FFF3" w:rsidR="00CD3761" w:rsidRDefault="00CD3761" w:rsidP="00CD3761">
            <w:pPr>
              <w:pStyle w:val="Numbered"/>
              <w:numPr>
                <w:ilvl w:val="0"/>
                <w:numId w:val="0"/>
              </w:numPr>
              <w:spacing w:before="0"/>
              <w:rPr>
                <w:b/>
                <w:bCs/>
              </w:rPr>
            </w:pPr>
          </w:p>
        </w:tc>
        <w:tc>
          <w:tcPr>
            <w:tcW w:w="2391" w:type="dxa"/>
            <w:shd w:val="clear" w:color="auto" w:fill="D9D9D9" w:themeFill="background1" w:themeFillShade="D9"/>
          </w:tcPr>
          <w:p w14:paraId="61339F1B" w14:textId="77777777" w:rsidR="00CD3761" w:rsidRPr="00296F1E" w:rsidRDefault="00CD3761" w:rsidP="00CD3761">
            <w:pPr>
              <w:pStyle w:val="Numbered"/>
              <w:numPr>
                <w:ilvl w:val="0"/>
                <w:numId w:val="0"/>
              </w:numPr>
              <w:spacing w:before="0"/>
              <w:rPr>
                <w:sz w:val="20"/>
                <w:szCs w:val="20"/>
              </w:rPr>
            </w:pPr>
            <w:r w:rsidRPr="00296F1E">
              <w:rPr>
                <w:sz w:val="20"/>
                <w:szCs w:val="20"/>
              </w:rPr>
              <w:t>-1</w:t>
            </w:r>
          </w:p>
          <w:p w14:paraId="685B750F" w14:textId="146BBF81" w:rsidR="00CD3761" w:rsidRPr="00D17979" w:rsidRDefault="00CD3761" w:rsidP="00CD3761">
            <w:pPr>
              <w:pStyle w:val="Numbered"/>
              <w:numPr>
                <w:ilvl w:val="0"/>
                <w:numId w:val="0"/>
              </w:numPr>
              <w:spacing w:before="0"/>
              <w:rPr>
                <w:b/>
                <w:bCs/>
              </w:rPr>
            </w:pPr>
            <w:r>
              <w:rPr>
                <w:sz w:val="20"/>
                <w:szCs w:val="20"/>
              </w:rPr>
              <w:t>Imposes the smallest additional cost of the three options.</w:t>
            </w:r>
          </w:p>
        </w:tc>
        <w:tc>
          <w:tcPr>
            <w:tcW w:w="2826" w:type="dxa"/>
            <w:shd w:val="clear" w:color="auto" w:fill="D9D9D9" w:themeFill="background1" w:themeFillShade="D9"/>
          </w:tcPr>
          <w:p w14:paraId="049E7289" w14:textId="026893F9" w:rsidR="00CD3761" w:rsidRPr="00296F1E" w:rsidRDefault="00CD3761" w:rsidP="00CD3761">
            <w:pPr>
              <w:pStyle w:val="Numbered"/>
              <w:numPr>
                <w:ilvl w:val="0"/>
                <w:numId w:val="0"/>
              </w:numPr>
              <w:spacing w:before="0"/>
              <w:rPr>
                <w:sz w:val="20"/>
                <w:szCs w:val="20"/>
              </w:rPr>
            </w:pPr>
            <w:r w:rsidRPr="00296F1E">
              <w:rPr>
                <w:sz w:val="20"/>
                <w:szCs w:val="20"/>
              </w:rPr>
              <w:t>-</w:t>
            </w:r>
            <w:r w:rsidR="003A41DA">
              <w:rPr>
                <w:sz w:val="20"/>
                <w:szCs w:val="20"/>
              </w:rPr>
              <w:t>1.5</w:t>
            </w:r>
          </w:p>
          <w:p w14:paraId="17A6BAD0" w14:textId="4D9CADDD" w:rsidR="00CD3761" w:rsidRPr="00D17979" w:rsidRDefault="00CD3761" w:rsidP="00CD3761">
            <w:pPr>
              <w:pStyle w:val="Numbered"/>
              <w:numPr>
                <w:ilvl w:val="0"/>
                <w:numId w:val="0"/>
              </w:numPr>
              <w:spacing w:before="0"/>
              <w:rPr>
                <w:b/>
                <w:bCs/>
              </w:rPr>
            </w:pPr>
            <w:r>
              <w:rPr>
                <w:sz w:val="20"/>
                <w:szCs w:val="20"/>
              </w:rPr>
              <w:t>Stronger obligations in relation to set-offs, shrinkage and wastage will impose costs on retailers.</w:t>
            </w:r>
          </w:p>
        </w:tc>
        <w:tc>
          <w:tcPr>
            <w:tcW w:w="2976" w:type="dxa"/>
            <w:shd w:val="clear" w:color="auto" w:fill="D9D9D9" w:themeFill="background1" w:themeFillShade="D9"/>
          </w:tcPr>
          <w:p w14:paraId="0EC6C4B0" w14:textId="30A94AE5" w:rsidR="00CD3761" w:rsidRPr="00296F1E" w:rsidRDefault="00CD3761" w:rsidP="00CD3761">
            <w:pPr>
              <w:pStyle w:val="Numbered"/>
              <w:numPr>
                <w:ilvl w:val="0"/>
                <w:numId w:val="0"/>
              </w:numPr>
              <w:spacing w:before="0"/>
              <w:rPr>
                <w:sz w:val="20"/>
                <w:szCs w:val="20"/>
              </w:rPr>
            </w:pPr>
            <w:r w:rsidRPr="00296F1E">
              <w:rPr>
                <w:sz w:val="20"/>
                <w:szCs w:val="20"/>
              </w:rPr>
              <w:t>-</w:t>
            </w:r>
            <w:r w:rsidR="003A41DA">
              <w:rPr>
                <w:sz w:val="20"/>
                <w:szCs w:val="20"/>
              </w:rPr>
              <w:t>2</w:t>
            </w:r>
          </w:p>
          <w:p w14:paraId="7259796D" w14:textId="02316D68" w:rsidR="00CD3761" w:rsidRPr="00D17979" w:rsidRDefault="00CD3761" w:rsidP="00CD3761">
            <w:pPr>
              <w:pStyle w:val="Numbered"/>
              <w:numPr>
                <w:ilvl w:val="0"/>
                <w:numId w:val="0"/>
              </w:numPr>
              <w:spacing w:before="0"/>
              <w:rPr>
                <w:b/>
                <w:bCs/>
              </w:rPr>
            </w:pPr>
            <w:r w:rsidRPr="00296F1E">
              <w:rPr>
                <w:sz w:val="20"/>
                <w:szCs w:val="20"/>
              </w:rPr>
              <w:t>More detailed provisions</w:t>
            </w:r>
            <w:r>
              <w:rPr>
                <w:sz w:val="20"/>
                <w:szCs w:val="20"/>
              </w:rPr>
              <w:t xml:space="preserve"> </w:t>
            </w:r>
            <w:r w:rsidRPr="00296F1E">
              <w:rPr>
                <w:sz w:val="20"/>
                <w:szCs w:val="20"/>
              </w:rPr>
              <w:t>will add extra costs</w:t>
            </w:r>
            <w:r>
              <w:rPr>
                <w:sz w:val="20"/>
                <w:szCs w:val="20"/>
              </w:rPr>
              <w:t>, including in relation to prohibiting payments that are not for specific activities.</w:t>
            </w:r>
          </w:p>
        </w:tc>
      </w:tr>
      <w:tr w:rsidR="00CD3761" w:rsidRPr="00D17979" w14:paraId="65BDDDFF" w14:textId="77777777" w:rsidTr="00203377">
        <w:tc>
          <w:tcPr>
            <w:tcW w:w="1011" w:type="dxa"/>
            <w:shd w:val="clear" w:color="auto" w:fill="D9D9D9" w:themeFill="background1" w:themeFillShade="D9"/>
          </w:tcPr>
          <w:p w14:paraId="382411B6" w14:textId="77777777" w:rsidR="00CD3761" w:rsidRDefault="00CD3761" w:rsidP="00CD3761">
            <w:pPr>
              <w:pStyle w:val="Numbered"/>
              <w:numPr>
                <w:ilvl w:val="0"/>
                <w:numId w:val="0"/>
              </w:numPr>
              <w:spacing w:before="0"/>
              <w:rPr>
                <w:b/>
                <w:bCs/>
              </w:rPr>
            </w:pPr>
            <w:r w:rsidRPr="001604BA">
              <w:rPr>
                <w:b/>
                <w:bCs/>
              </w:rPr>
              <w:t xml:space="preserve">Durable </w:t>
            </w:r>
          </w:p>
          <w:p w14:paraId="4390DEE7" w14:textId="5151E0E6" w:rsidR="00CD3761" w:rsidRPr="001604BA" w:rsidRDefault="00CD3761" w:rsidP="00CD3761">
            <w:pPr>
              <w:pStyle w:val="Numbered"/>
              <w:numPr>
                <w:ilvl w:val="0"/>
                <w:numId w:val="0"/>
              </w:numPr>
              <w:spacing w:before="0"/>
              <w:rPr>
                <w:b/>
                <w:bCs/>
              </w:rPr>
            </w:pPr>
          </w:p>
        </w:tc>
        <w:tc>
          <w:tcPr>
            <w:tcW w:w="2391" w:type="dxa"/>
            <w:shd w:val="clear" w:color="auto" w:fill="D9D9D9" w:themeFill="background1" w:themeFillShade="D9"/>
          </w:tcPr>
          <w:p w14:paraId="5D8AB526" w14:textId="5D73D742" w:rsidR="00CD3761" w:rsidRDefault="00CD3761" w:rsidP="00CD3761">
            <w:pPr>
              <w:pStyle w:val="Numbered"/>
              <w:numPr>
                <w:ilvl w:val="0"/>
                <w:numId w:val="0"/>
              </w:numPr>
              <w:spacing w:before="0"/>
              <w:rPr>
                <w:sz w:val="20"/>
                <w:szCs w:val="20"/>
              </w:rPr>
            </w:pPr>
            <w:r w:rsidRPr="00296F1E">
              <w:rPr>
                <w:sz w:val="20"/>
                <w:szCs w:val="20"/>
              </w:rPr>
              <w:t>+</w:t>
            </w:r>
            <w:r w:rsidR="003A41DA">
              <w:rPr>
                <w:sz w:val="20"/>
                <w:szCs w:val="20"/>
              </w:rPr>
              <w:t>1.5</w:t>
            </w:r>
          </w:p>
          <w:p w14:paraId="51028AEA" w14:textId="52912984" w:rsidR="00CD3761" w:rsidRPr="00D17979" w:rsidRDefault="003A41DA" w:rsidP="00CD3761">
            <w:pPr>
              <w:pStyle w:val="Numbered"/>
              <w:numPr>
                <w:ilvl w:val="0"/>
                <w:numId w:val="0"/>
              </w:numPr>
              <w:spacing w:before="0"/>
              <w:rPr>
                <w:b/>
                <w:bCs/>
              </w:rPr>
            </w:pPr>
            <w:r>
              <w:rPr>
                <w:sz w:val="20"/>
                <w:szCs w:val="20"/>
              </w:rPr>
              <w:t>Some of the exceptions are more limited and only provide for promotions, suppliers may benefit from more flexibility</w:t>
            </w:r>
            <w:r w:rsidR="003F7703">
              <w:rPr>
                <w:sz w:val="20"/>
                <w:szCs w:val="20"/>
              </w:rPr>
              <w:t>.</w:t>
            </w:r>
            <w:r w:rsidR="00CD3761" w:rsidRPr="00296F1E">
              <w:rPr>
                <w:sz w:val="20"/>
                <w:szCs w:val="20"/>
              </w:rPr>
              <w:t xml:space="preserve"> </w:t>
            </w:r>
          </w:p>
        </w:tc>
        <w:tc>
          <w:tcPr>
            <w:tcW w:w="2826" w:type="dxa"/>
            <w:shd w:val="clear" w:color="auto" w:fill="D9D9D9" w:themeFill="background1" w:themeFillShade="D9"/>
          </w:tcPr>
          <w:p w14:paraId="16802271" w14:textId="77777777" w:rsidR="00CD3761" w:rsidRPr="00296F1E" w:rsidRDefault="00CD3761" w:rsidP="00CD3761">
            <w:pPr>
              <w:pStyle w:val="Numbered"/>
              <w:numPr>
                <w:ilvl w:val="0"/>
                <w:numId w:val="0"/>
              </w:numPr>
              <w:spacing w:before="0"/>
              <w:rPr>
                <w:sz w:val="20"/>
                <w:szCs w:val="20"/>
              </w:rPr>
            </w:pPr>
            <w:r w:rsidRPr="00296F1E">
              <w:rPr>
                <w:sz w:val="20"/>
                <w:szCs w:val="20"/>
              </w:rPr>
              <w:t>+2</w:t>
            </w:r>
          </w:p>
          <w:p w14:paraId="699822F3" w14:textId="04A94528" w:rsidR="00CD3761" w:rsidRPr="00D17979" w:rsidRDefault="00CD3761" w:rsidP="00CD3761">
            <w:pPr>
              <w:pStyle w:val="Numbered"/>
              <w:numPr>
                <w:ilvl w:val="0"/>
                <w:numId w:val="0"/>
              </w:numPr>
              <w:spacing w:before="0"/>
              <w:rPr>
                <w:b/>
                <w:bCs/>
              </w:rPr>
            </w:pPr>
            <w:r>
              <w:rPr>
                <w:sz w:val="20"/>
                <w:szCs w:val="20"/>
              </w:rPr>
              <w:t>The use of contracting out (via supply agreement which must be reasonable in the circumstances) adds flexibility</w:t>
            </w:r>
            <w:r w:rsidR="007050AD">
              <w:rPr>
                <w:sz w:val="20"/>
                <w:szCs w:val="20"/>
              </w:rPr>
              <w:t xml:space="preserve"> and longevity to the regulations</w:t>
            </w:r>
            <w:r>
              <w:rPr>
                <w:sz w:val="20"/>
                <w:szCs w:val="20"/>
              </w:rPr>
              <w:t>.</w:t>
            </w:r>
          </w:p>
        </w:tc>
        <w:tc>
          <w:tcPr>
            <w:tcW w:w="2976" w:type="dxa"/>
            <w:shd w:val="clear" w:color="auto" w:fill="D9D9D9" w:themeFill="background1" w:themeFillShade="D9"/>
          </w:tcPr>
          <w:p w14:paraId="009F2AF0" w14:textId="1F744B3D" w:rsidR="00CD3761" w:rsidRDefault="00CD3761" w:rsidP="00CD3761">
            <w:pPr>
              <w:pStyle w:val="Numbered"/>
              <w:numPr>
                <w:ilvl w:val="0"/>
                <w:numId w:val="0"/>
              </w:numPr>
              <w:spacing w:before="0"/>
              <w:rPr>
                <w:sz w:val="20"/>
                <w:szCs w:val="20"/>
              </w:rPr>
            </w:pPr>
            <w:r>
              <w:rPr>
                <w:sz w:val="20"/>
                <w:szCs w:val="20"/>
              </w:rPr>
              <w:t>+</w:t>
            </w:r>
            <w:r w:rsidR="003A41DA">
              <w:rPr>
                <w:sz w:val="20"/>
                <w:szCs w:val="20"/>
              </w:rPr>
              <w:t>1.5</w:t>
            </w:r>
          </w:p>
          <w:p w14:paraId="0C81AC5B" w14:textId="049D8561" w:rsidR="00CD3761" w:rsidRPr="00D17979" w:rsidRDefault="00A06B1E" w:rsidP="00CD3761">
            <w:pPr>
              <w:pStyle w:val="Numbered"/>
              <w:numPr>
                <w:ilvl w:val="0"/>
                <w:numId w:val="0"/>
              </w:numPr>
              <w:spacing w:before="0"/>
              <w:rPr>
                <w:b/>
                <w:bCs/>
              </w:rPr>
            </w:pPr>
            <w:r>
              <w:rPr>
                <w:sz w:val="20"/>
                <w:szCs w:val="20"/>
              </w:rPr>
              <w:t>Some</w:t>
            </w:r>
            <w:r w:rsidR="00CD3761">
              <w:rPr>
                <w:sz w:val="20"/>
                <w:szCs w:val="20"/>
              </w:rPr>
              <w:t xml:space="preserve"> use of contracting out (via supply agreement which must be reasonable in the circumstances) adds flexibility.</w:t>
            </w:r>
          </w:p>
        </w:tc>
      </w:tr>
      <w:tr w:rsidR="00CD3761" w:rsidRPr="00D17979" w14:paraId="72FFBF54" w14:textId="77777777" w:rsidTr="00203377">
        <w:tc>
          <w:tcPr>
            <w:tcW w:w="1011" w:type="dxa"/>
            <w:shd w:val="clear" w:color="auto" w:fill="D9D9D9" w:themeFill="background1" w:themeFillShade="D9"/>
          </w:tcPr>
          <w:p w14:paraId="28D9171C" w14:textId="5AC84E27" w:rsidR="00CD3761" w:rsidRPr="001604BA" w:rsidRDefault="00CD3761" w:rsidP="00CD3761">
            <w:pPr>
              <w:pStyle w:val="Numbered"/>
              <w:numPr>
                <w:ilvl w:val="0"/>
                <w:numId w:val="0"/>
              </w:numPr>
              <w:spacing w:before="0"/>
              <w:rPr>
                <w:b/>
                <w:bCs/>
              </w:rPr>
            </w:pPr>
            <w:r>
              <w:rPr>
                <w:b/>
                <w:bCs/>
              </w:rPr>
              <w:t>Overall</w:t>
            </w:r>
          </w:p>
        </w:tc>
        <w:tc>
          <w:tcPr>
            <w:tcW w:w="2391" w:type="dxa"/>
            <w:shd w:val="clear" w:color="auto" w:fill="D9D9D9" w:themeFill="background1" w:themeFillShade="D9"/>
          </w:tcPr>
          <w:p w14:paraId="0AE44F4E" w14:textId="4980613E" w:rsidR="00CD3761" w:rsidRPr="00D17979" w:rsidRDefault="003A41DA" w:rsidP="00CD3761">
            <w:pPr>
              <w:pStyle w:val="Numbered"/>
              <w:numPr>
                <w:ilvl w:val="0"/>
                <w:numId w:val="0"/>
              </w:numPr>
              <w:spacing w:before="0"/>
              <w:rPr>
                <w:b/>
                <w:bCs/>
              </w:rPr>
            </w:pPr>
            <w:r>
              <w:rPr>
                <w:b/>
                <w:bCs/>
              </w:rPr>
              <w:t>+</w:t>
            </w:r>
            <w:r w:rsidR="007050AD">
              <w:rPr>
                <w:b/>
                <w:bCs/>
              </w:rPr>
              <w:t>2</w:t>
            </w:r>
          </w:p>
        </w:tc>
        <w:tc>
          <w:tcPr>
            <w:tcW w:w="2826" w:type="dxa"/>
            <w:shd w:val="clear" w:color="auto" w:fill="D9D9D9" w:themeFill="background1" w:themeFillShade="D9"/>
          </w:tcPr>
          <w:p w14:paraId="73C30700" w14:textId="7052FB0B" w:rsidR="00CD3761" w:rsidRPr="00D17979" w:rsidRDefault="003A41DA" w:rsidP="00CD3761">
            <w:pPr>
              <w:pStyle w:val="Numbered"/>
              <w:numPr>
                <w:ilvl w:val="0"/>
                <w:numId w:val="0"/>
              </w:numPr>
              <w:spacing w:before="0"/>
              <w:rPr>
                <w:b/>
                <w:bCs/>
              </w:rPr>
            </w:pPr>
            <w:r>
              <w:rPr>
                <w:b/>
                <w:bCs/>
              </w:rPr>
              <w:t>+2.5</w:t>
            </w:r>
          </w:p>
        </w:tc>
        <w:tc>
          <w:tcPr>
            <w:tcW w:w="2976" w:type="dxa"/>
            <w:shd w:val="clear" w:color="auto" w:fill="D9D9D9" w:themeFill="background1" w:themeFillShade="D9"/>
          </w:tcPr>
          <w:p w14:paraId="1BF07686" w14:textId="6ECA8B38" w:rsidR="00CD3761" w:rsidRPr="00D17979" w:rsidRDefault="003A41DA" w:rsidP="00CD3761">
            <w:pPr>
              <w:pStyle w:val="Numbered"/>
              <w:numPr>
                <w:ilvl w:val="0"/>
                <w:numId w:val="0"/>
              </w:numPr>
              <w:spacing w:before="0"/>
              <w:rPr>
                <w:b/>
                <w:bCs/>
              </w:rPr>
            </w:pPr>
            <w:r>
              <w:rPr>
                <w:b/>
                <w:bCs/>
              </w:rPr>
              <w:t>+2</w:t>
            </w:r>
            <w:r w:rsidR="00A06B1E">
              <w:rPr>
                <w:b/>
                <w:bCs/>
              </w:rPr>
              <w:t>.5</w:t>
            </w:r>
          </w:p>
        </w:tc>
      </w:tr>
    </w:tbl>
    <w:p w14:paraId="3F10FBEE" w14:textId="77777777" w:rsidR="00226786" w:rsidRDefault="00226786" w:rsidP="00861D0E">
      <w:bookmarkStart w:id="199" w:name="_Toc104358678"/>
      <w:bookmarkEnd w:id="198"/>
    </w:p>
    <w:p w14:paraId="0330946C" w14:textId="77777777" w:rsidR="00226786" w:rsidRDefault="00226786">
      <w:pPr>
        <w:rPr>
          <w:rFonts w:asciiTheme="majorHAnsi" w:hAnsiTheme="majorHAnsi"/>
          <w:color w:val="006272" w:themeColor="text2"/>
          <w:sz w:val="24"/>
          <w:szCs w:val="26"/>
        </w:rPr>
      </w:pPr>
      <w:r>
        <w:br w:type="page"/>
      </w:r>
    </w:p>
    <w:p w14:paraId="1CCDC589" w14:textId="099DBB8C" w:rsidR="006E56CE" w:rsidRDefault="006E56CE" w:rsidP="00FB5B42">
      <w:pPr>
        <w:pStyle w:val="Heading2"/>
        <w:tabs>
          <w:tab w:val="left" w:pos="567"/>
        </w:tabs>
      </w:pPr>
      <w:bookmarkStart w:id="200" w:name="_Toc107919658"/>
      <w:r>
        <w:lastRenderedPageBreak/>
        <w:t>7.</w:t>
      </w:r>
      <w:r w:rsidR="00FB2DC7">
        <w:t>9</w:t>
      </w:r>
      <w:r w:rsidR="00FB5B42">
        <w:tab/>
      </w:r>
      <w:r>
        <w:t>Consultation questions</w:t>
      </w:r>
      <w:bookmarkEnd w:id="199"/>
      <w:bookmarkEnd w:id="200"/>
    </w:p>
    <w:tbl>
      <w:tblPr>
        <w:tblStyle w:val="TableGrid"/>
        <w:tblW w:w="0" w:type="auto"/>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600" w:firstRow="0" w:lastRow="0" w:firstColumn="0" w:lastColumn="0" w:noHBand="1" w:noVBand="1"/>
      </w:tblPr>
      <w:tblGrid>
        <w:gridCol w:w="531"/>
        <w:gridCol w:w="8539"/>
      </w:tblGrid>
      <w:tr w:rsidR="006E56CE" w:rsidRPr="00133B22" w14:paraId="0AC0894E" w14:textId="77777777" w:rsidTr="005509A4">
        <w:trPr>
          <w:cantSplit/>
        </w:trPr>
        <w:tc>
          <w:tcPr>
            <w:tcW w:w="531" w:type="dxa"/>
            <w:shd w:val="clear" w:color="auto" w:fill="006272"/>
            <w:vAlign w:val="center"/>
          </w:tcPr>
          <w:p w14:paraId="6F7C46BA" w14:textId="77777777" w:rsidR="006E56CE" w:rsidRPr="00133B22" w:rsidRDefault="006E56CE" w:rsidP="005509A4">
            <w:pPr>
              <w:pStyle w:val="Questionnumber"/>
            </w:pPr>
          </w:p>
        </w:tc>
        <w:tc>
          <w:tcPr>
            <w:tcW w:w="8539" w:type="dxa"/>
            <w:shd w:val="clear" w:color="auto" w:fill="B3D0D5"/>
          </w:tcPr>
          <w:p w14:paraId="0DB242FD" w14:textId="258C13E5" w:rsidR="006E56CE" w:rsidRDefault="006E56CE" w:rsidP="005509A4">
            <w:pPr>
              <w:pStyle w:val="Question"/>
            </w:pPr>
            <w:r>
              <w:rPr>
                <w:bCs/>
              </w:rPr>
              <w:t xml:space="preserve">In relation to </w:t>
            </w:r>
            <w:r w:rsidRPr="00EF2ADF">
              <w:rPr>
                <w:b/>
              </w:rPr>
              <w:t>7.2 Payment terms and set-offs</w:t>
            </w:r>
            <w:r w:rsidRPr="00EF2ADF">
              <w:rPr>
                <w:bCs/>
              </w:rPr>
              <w:t xml:space="preserve">, </w:t>
            </w:r>
            <w:r w:rsidR="00057FF9">
              <w:t xml:space="preserve">which </w:t>
            </w:r>
            <w:r w:rsidR="00057FF9" w:rsidRPr="00616F24">
              <w:t xml:space="preserve">option do you think is best, </w:t>
            </w:r>
            <w:r w:rsidR="00057FF9">
              <w:t xml:space="preserve">and </w:t>
            </w:r>
            <w:r w:rsidR="00057FF9" w:rsidRPr="00616F24">
              <w:t>why?</w:t>
            </w:r>
          </w:p>
        </w:tc>
      </w:tr>
      <w:tr w:rsidR="00B17335" w:rsidRPr="00133B22" w14:paraId="284D8F47" w14:textId="77777777" w:rsidTr="005509A4">
        <w:trPr>
          <w:cantSplit/>
        </w:trPr>
        <w:tc>
          <w:tcPr>
            <w:tcW w:w="531" w:type="dxa"/>
            <w:shd w:val="clear" w:color="auto" w:fill="006272"/>
            <w:vAlign w:val="center"/>
          </w:tcPr>
          <w:p w14:paraId="7F0A68D5" w14:textId="77777777" w:rsidR="00B17335" w:rsidRPr="00133B22" w:rsidRDefault="00B17335" w:rsidP="005509A4">
            <w:pPr>
              <w:pStyle w:val="Questionnumber"/>
            </w:pPr>
          </w:p>
        </w:tc>
        <w:tc>
          <w:tcPr>
            <w:tcW w:w="8539" w:type="dxa"/>
            <w:shd w:val="clear" w:color="auto" w:fill="B3D0D5"/>
          </w:tcPr>
          <w:p w14:paraId="4D649FA6" w14:textId="41433627" w:rsidR="00B17335" w:rsidRPr="00B17335" w:rsidRDefault="00B17335" w:rsidP="005509A4">
            <w:pPr>
              <w:pStyle w:val="Question"/>
            </w:pPr>
            <w:r>
              <w:t xml:space="preserve">In relation to </w:t>
            </w:r>
            <w:r>
              <w:rPr>
                <w:b/>
              </w:rPr>
              <w:t>7.3 Responses to price increases</w:t>
            </w:r>
            <w:r w:rsidRPr="00EF2ADF">
              <w:rPr>
                <w:bCs/>
              </w:rPr>
              <w:t>,</w:t>
            </w:r>
            <w:r>
              <w:rPr>
                <w:bCs/>
              </w:rPr>
              <w:t xml:space="preserve"> </w:t>
            </w:r>
            <w:r>
              <w:t xml:space="preserve">which </w:t>
            </w:r>
            <w:r w:rsidRPr="00616F24">
              <w:t xml:space="preserve">option do you think is best, </w:t>
            </w:r>
            <w:r>
              <w:t xml:space="preserve">and </w:t>
            </w:r>
            <w:r w:rsidRPr="00616F24">
              <w:t>why?</w:t>
            </w:r>
          </w:p>
        </w:tc>
      </w:tr>
      <w:tr w:rsidR="006E56CE" w:rsidRPr="00133B22" w14:paraId="00C3A26B" w14:textId="77777777" w:rsidTr="005509A4">
        <w:trPr>
          <w:cantSplit/>
        </w:trPr>
        <w:tc>
          <w:tcPr>
            <w:tcW w:w="531" w:type="dxa"/>
            <w:shd w:val="clear" w:color="auto" w:fill="006272"/>
            <w:vAlign w:val="center"/>
          </w:tcPr>
          <w:p w14:paraId="17601AF4" w14:textId="77777777" w:rsidR="006E56CE" w:rsidRPr="00133B22" w:rsidRDefault="006E56CE" w:rsidP="005509A4">
            <w:pPr>
              <w:pStyle w:val="Questionnumber"/>
            </w:pPr>
          </w:p>
        </w:tc>
        <w:tc>
          <w:tcPr>
            <w:tcW w:w="8539" w:type="dxa"/>
            <w:shd w:val="clear" w:color="auto" w:fill="B3D0D5"/>
          </w:tcPr>
          <w:p w14:paraId="5CF6BD28" w14:textId="6F514F95" w:rsidR="006E56CE" w:rsidRDefault="006E56CE" w:rsidP="005509A4">
            <w:pPr>
              <w:pStyle w:val="Question"/>
            </w:pPr>
            <w:r>
              <w:t xml:space="preserve">In relation to </w:t>
            </w:r>
            <w:r>
              <w:rPr>
                <w:b/>
              </w:rPr>
              <w:t>7.4 Payments for shrinkage and wastage</w:t>
            </w:r>
            <w:r w:rsidR="00057FF9" w:rsidRPr="00EF2ADF">
              <w:rPr>
                <w:bCs/>
              </w:rPr>
              <w:t>,</w:t>
            </w:r>
            <w:r w:rsidR="00057FF9">
              <w:rPr>
                <w:bCs/>
              </w:rPr>
              <w:t xml:space="preserve"> </w:t>
            </w:r>
            <w:r w:rsidR="00057FF9">
              <w:t xml:space="preserve">which </w:t>
            </w:r>
            <w:r w:rsidR="00057FF9" w:rsidRPr="00616F24">
              <w:t xml:space="preserve">option do you think is best, </w:t>
            </w:r>
            <w:r w:rsidR="00057FF9">
              <w:t xml:space="preserve">and </w:t>
            </w:r>
            <w:r w:rsidR="00057FF9" w:rsidRPr="00616F24">
              <w:t>why?</w:t>
            </w:r>
          </w:p>
        </w:tc>
      </w:tr>
      <w:tr w:rsidR="006E56CE" w:rsidRPr="00EF2ADF" w14:paraId="192BD412" w14:textId="77777777" w:rsidTr="005509A4">
        <w:trPr>
          <w:cantSplit/>
        </w:trPr>
        <w:tc>
          <w:tcPr>
            <w:tcW w:w="531" w:type="dxa"/>
            <w:shd w:val="clear" w:color="auto" w:fill="006272"/>
            <w:vAlign w:val="center"/>
          </w:tcPr>
          <w:p w14:paraId="6C3A9226" w14:textId="77777777" w:rsidR="006E56CE" w:rsidRPr="00133B22" w:rsidRDefault="006E56CE" w:rsidP="005509A4">
            <w:pPr>
              <w:pStyle w:val="Questionnumber"/>
            </w:pPr>
          </w:p>
        </w:tc>
        <w:tc>
          <w:tcPr>
            <w:tcW w:w="8539" w:type="dxa"/>
            <w:shd w:val="clear" w:color="auto" w:fill="B3D0D5"/>
          </w:tcPr>
          <w:p w14:paraId="5AD42F6A" w14:textId="1D66F700" w:rsidR="006E56CE" w:rsidRPr="00EF2ADF" w:rsidRDefault="006E56CE" w:rsidP="004B0399">
            <w:pPr>
              <w:pStyle w:val="Question"/>
            </w:pPr>
            <w:r>
              <w:t xml:space="preserve">In relation to </w:t>
            </w:r>
            <w:r>
              <w:rPr>
                <w:b/>
                <w:bCs/>
              </w:rPr>
              <w:t>7.5 Payments for retailer’s business activities, product placement, and as a condition of being a supplier</w:t>
            </w:r>
            <w:r w:rsidRPr="00EF2ADF">
              <w:t xml:space="preserve">, </w:t>
            </w:r>
            <w:r w:rsidR="00057FF9">
              <w:t xml:space="preserve">which </w:t>
            </w:r>
            <w:r w:rsidR="00057FF9" w:rsidRPr="00616F24">
              <w:t xml:space="preserve">option do you think is best, </w:t>
            </w:r>
            <w:r w:rsidR="00057FF9">
              <w:t xml:space="preserve">and </w:t>
            </w:r>
            <w:r w:rsidR="00057FF9" w:rsidRPr="00616F24">
              <w:t>why?</w:t>
            </w:r>
          </w:p>
        </w:tc>
      </w:tr>
      <w:tr w:rsidR="006E56CE" w14:paraId="70288D1C" w14:textId="77777777" w:rsidTr="005509A4">
        <w:trPr>
          <w:cantSplit/>
        </w:trPr>
        <w:tc>
          <w:tcPr>
            <w:tcW w:w="531" w:type="dxa"/>
            <w:shd w:val="clear" w:color="auto" w:fill="006272"/>
            <w:vAlign w:val="center"/>
          </w:tcPr>
          <w:p w14:paraId="417372DB" w14:textId="77777777" w:rsidR="006E56CE" w:rsidRPr="00133B22" w:rsidRDefault="006E56CE" w:rsidP="005509A4">
            <w:pPr>
              <w:pStyle w:val="Questionnumber"/>
            </w:pPr>
          </w:p>
        </w:tc>
        <w:tc>
          <w:tcPr>
            <w:tcW w:w="8539" w:type="dxa"/>
            <w:shd w:val="clear" w:color="auto" w:fill="B3D0D5"/>
          </w:tcPr>
          <w:p w14:paraId="050A1DDE" w14:textId="07106C4D" w:rsidR="006E56CE" w:rsidRDefault="006E56CE" w:rsidP="005509A4">
            <w:pPr>
              <w:pStyle w:val="Question"/>
            </w:pPr>
            <w:r>
              <w:t xml:space="preserve">In relation to </w:t>
            </w:r>
            <w:r>
              <w:rPr>
                <w:b/>
                <w:bCs/>
              </w:rPr>
              <w:t>7.6 Payments for promotions and promotional buying</w:t>
            </w:r>
            <w:r w:rsidR="00057FF9" w:rsidRPr="00EF2ADF">
              <w:rPr>
                <w:bCs/>
              </w:rPr>
              <w:t>,</w:t>
            </w:r>
            <w:r w:rsidR="00057FF9">
              <w:rPr>
                <w:bCs/>
              </w:rPr>
              <w:t xml:space="preserve"> </w:t>
            </w:r>
            <w:r w:rsidR="00057FF9">
              <w:t xml:space="preserve">which </w:t>
            </w:r>
            <w:r w:rsidR="00057FF9" w:rsidRPr="00616F24">
              <w:t xml:space="preserve">option do you think is best, </w:t>
            </w:r>
            <w:r w:rsidR="00057FF9">
              <w:t xml:space="preserve">and </w:t>
            </w:r>
            <w:r w:rsidR="00057FF9" w:rsidRPr="00616F24">
              <w:t>why?</w:t>
            </w:r>
            <w:r w:rsidR="00057FF9">
              <w:br/>
              <w:t>W</w:t>
            </w:r>
            <w:r>
              <w:t>hat are your views on promotional buying</w:t>
            </w:r>
            <w:r w:rsidR="00057FF9">
              <w:t xml:space="preserve"> and investment buying</w:t>
            </w:r>
            <w:r>
              <w:t>?</w:t>
            </w:r>
          </w:p>
        </w:tc>
      </w:tr>
      <w:tr w:rsidR="006E56CE" w:rsidRPr="00133B22" w14:paraId="37B43E8B" w14:textId="77777777" w:rsidTr="005509A4">
        <w:trPr>
          <w:cantSplit/>
        </w:trPr>
        <w:tc>
          <w:tcPr>
            <w:tcW w:w="531" w:type="dxa"/>
            <w:shd w:val="clear" w:color="auto" w:fill="006272"/>
            <w:vAlign w:val="center"/>
          </w:tcPr>
          <w:p w14:paraId="326D08A5" w14:textId="77777777" w:rsidR="006E56CE" w:rsidRPr="00133B22" w:rsidRDefault="006E56CE" w:rsidP="005509A4">
            <w:pPr>
              <w:pStyle w:val="Questionnumber"/>
            </w:pPr>
          </w:p>
        </w:tc>
        <w:tc>
          <w:tcPr>
            <w:tcW w:w="8539" w:type="dxa"/>
            <w:shd w:val="clear" w:color="auto" w:fill="B3D0D5"/>
          </w:tcPr>
          <w:p w14:paraId="188B6BD3" w14:textId="577D244D" w:rsidR="006E56CE" w:rsidRPr="00B76C14" w:rsidRDefault="006E56CE" w:rsidP="004B0399">
            <w:pPr>
              <w:pStyle w:val="Question"/>
            </w:pPr>
            <w:r w:rsidRPr="00B76C14">
              <w:t xml:space="preserve">Do you think requests from retailers for payments for data </w:t>
            </w:r>
            <w:r w:rsidR="00C97814">
              <w:t xml:space="preserve">services </w:t>
            </w:r>
            <w:r w:rsidRPr="00B76C14">
              <w:t>is an issue</w:t>
            </w:r>
            <w:r>
              <w:t xml:space="preserve"> and </w:t>
            </w:r>
            <w:r w:rsidR="00C97814">
              <w:t>if so,</w:t>
            </w:r>
            <w:r>
              <w:t xml:space="preserve"> why? </w:t>
            </w:r>
          </w:p>
        </w:tc>
      </w:tr>
      <w:tr w:rsidR="006E56CE" w:rsidRPr="00133B22" w14:paraId="69701C6D" w14:textId="77777777" w:rsidTr="005509A4">
        <w:trPr>
          <w:cantSplit/>
        </w:trPr>
        <w:tc>
          <w:tcPr>
            <w:tcW w:w="531" w:type="dxa"/>
            <w:shd w:val="clear" w:color="auto" w:fill="006272"/>
            <w:vAlign w:val="center"/>
          </w:tcPr>
          <w:p w14:paraId="094B48B2" w14:textId="77777777" w:rsidR="006E56CE" w:rsidRPr="00133B22" w:rsidRDefault="006E56CE" w:rsidP="005509A4">
            <w:pPr>
              <w:pStyle w:val="Questionnumber"/>
            </w:pPr>
          </w:p>
        </w:tc>
        <w:tc>
          <w:tcPr>
            <w:tcW w:w="8539" w:type="dxa"/>
            <w:shd w:val="clear" w:color="auto" w:fill="B3D0D5"/>
          </w:tcPr>
          <w:p w14:paraId="28308BCE" w14:textId="77777777" w:rsidR="006E56CE" w:rsidRDefault="006E56CE" w:rsidP="005509A4">
            <w:pPr>
              <w:pStyle w:val="Question"/>
            </w:pPr>
            <w:r>
              <w:t xml:space="preserve">Are there any other instances where requests for payments should be limited? If so, what are the issues and how should they be addressed in a Code? </w:t>
            </w:r>
          </w:p>
        </w:tc>
      </w:tr>
      <w:tr w:rsidR="004B0399" w:rsidRPr="00133B22" w14:paraId="3E4FB1CA" w14:textId="77777777" w:rsidTr="005509A4">
        <w:tblPrEx>
          <w:tblCellMar>
            <w:top w:w="57" w:type="dxa"/>
            <w:bottom w:w="57" w:type="dxa"/>
          </w:tblCellMar>
        </w:tblPrEx>
        <w:trPr>
          <w:cantSplit/>
          <w:trHeight w:val="286"/>
        </w:trPr>
        <w:tc>
          <w:tcPr>
            <w:tcW w:w="531" w:type="dxa"/>
            <w:shd w:val="clear" w:color="auto" w:fill="006272"/>
            <w:vAlign w:val="center"/>
          </w:tcPr>
          <w:p w14:paraId="6D6E4C0F" w14:textId="77777777" w:rsidR="004B0399" w:rsidRPr="00133B22" w:rsidRDefault="004B0399" w:rsidP="005509A4">
            <w:pPr>
              <w:pStyle w:val="Questionnumber"/>
            </w:pPr>
          </w:p>
        </w:tc>
        <w:tc>
          <w:tcPr>
            <w:tcW w:w="8539" w:type="dxa"/>
            <w:shd w:val="clear" w:color="auto" w:fill="B3D0D5"/>
          </w:tcPr>
          <w:p w14:paraId="3B68CB65" w14:textId="32986CDF" w:rsidR="004B0399" w:rsidRPr="00531897" w:rsidRDefault="004B0399" w:rsidP="005509A4">
            <w:pPr>
              <w:pStyle w:val="Numbered"/>
              <w:numPr>
                <w:ilvl w:val="0"/>
                <w:numId w:val="0"/>
              </w:numPr>
              <w:spacing w:before="0"/>
            </w:pPr>
            <w:r>
              <w:t xml:space="preserve">Do you have any comments on the preliminary assessment of the options against the criteria in </w:t>
            </w:r>
            <w:r>
              <w:rPr>
                <w:b/>
                <w:bCs/>
              </w:rPr>
              <w:t>Chapter 7</w:t>
            </w:r>
            <w:r w:rsidRPr="00531897">
              <w:t>?</w:t>
            </w:r>
          </w:p>
        </w:tc>
      </w:tr>
    </w:tbl>
    <w:p w14:paraId="34AC8595" w14:textId="77777777" w:rsidR="00AB792D" w:rsidRDefault="00AB792D">
      <w:pPr>
        <w:rPr>
          <w:rFonts w:asciiTheme="majorHAnsi" w:hAnsiTheme="majorHAnsi"/>
          <w:color w:val="006272" w:themeColor="text2"/>
          <w:sz w:val="26"/>
          <w:szCs w:val="30"/>
        </w:rPr>
      </w:pPr>
      <w:bookmarkStart w:id="201" w:name="_Toc103173717"/>
      <w:bookmarkStart w:id="202" w:name="_Hlk103165611"/>
      <w:bookmarkStart w:id="203" w:name="_Hlk102655596"/>
      <w:bookmarkEnd w:id="174"/>
      <w:r>
        <w:br w:type="page"/>
      </w:r>
    </w:p>
    <w:p w14:paraId="7BFD4F54" w14:textId="161ECD5E" w:rsidR="00613281" w:rsidRDefault="007E7E07" w:rsidP="00613281">
      <w:pPr>
        <w:pStyle w:val="Heading1"/>
      </w:pPr>
      <w:bookmarkStart w:id="204" w:name="_Toc107919659"/>
      <w:bookmarkStart w:id="205" w:name="_Toc104358679"/>
      <w:r>
        <w:lastRenderedPageBreak/>
        <w:t>Dispute Resolution</w:t>
      </w:r>
      <w:bookmarkEnd w:id="201"/>
      <w:bookmarkEnd w:id="204"/>
      <w:r>
        <w:t xml:space="preserve"> </w:t>
      </w:r>
      <w:bookmarkEnd w:id="205"/>
    </w:p>
    <w:p w14:paraId="3FD94E70" w14:textId="77777777" w:rsidR="00613281" w:rsidRDefault="00613281" w:rsidP="00613281">
      <w:pPr>
        <w:pStyle w:val="LineTeal"/>
      </w:pPr>
    </w:p>
    <w:p w14:paraId="38237E32" w14:textId="25E98B07" w:rsidR="00483EB6" w:rsidRDefault="00FB5B42" w:rsidP="00FB5B42">
      <w:pPr>
        <w:pStyle w:val="Heading2"/>
        <w:tabs>
          <w:tab w:val="left" w:pos="567"/>
        </w:tabs>
      </w:pPr>
      <w:bookmarkStart w:id="206" w:name="_Toc103173718"/>
      <w:bookmarkStart w:id="207" w:name="_Toc104358680"/>
      <w:bookmarkStart w:id="208" w:name="_Toc107919660"/>
      <w:r>
        <w:t>8.1</w:t>
      </w:r>
      <w:r>
        <w:tab/>
      </w:r>
      <w:r w:rsidR="00483EB6">
        <w:t>Approach to this issue</w:t>
      </w:r>
      <w:bookmarkEnd w:id="206"/>
      <w:bookmarkEnd w:id="207"/>
      <w:bookmarkEnd w:id="208"/>
    </w:p>
    <w:p w14:paraId="6B4C2AB4" w14:textId="7368F8DF" w:rsidR="000015D4" w:rsidRDefault="001361AA" w:rsidP="00781B33">
      <w:pPr>
        <w:pStyle w:val="Numbered"/>
      </w:pPr>
      <w:r>
        <w:t xml:space="preserve">Unresolved disputes can be </w:t>
      </w:r>
      <w:r w:rsidRPr="001361AA">
        <w:t>damaging, expensive and time consuming</w:t>
      </w:r>
      <w:r>
        <w:t xml:space="preserve">. </w:t>
      </w:r>
      <w:r w:rsidR="00232FF9">
        <w:t>A dispute is an unresolved issue</w:t>
      </w:r>
      <w:r w:rsidR="00953AE4" w:rsidRPr="00953AE4">
        <w:t xml:space="preserve"> </w:t>
      </w:r>
      <w:r w:rsidR="00953AE4">
        <w:t xml:space="preserve">or disagreement between </w:t>
      </w:r>
      <w:r w:rsidR="000030C9">
        <w:t>a</w:t>
      </w:r>
      <w:r w:rsidR="00953AE4">
        <w:t xml:space="preserve"> </w:t>
      </w:r>
      <w:r w:rsidR="00197F36">
        <w:t xml:space="preserve">designated </w:t>
      </w:r>
      <w:r w:rsidR="00953AE4">
        <w:t xml:space="preserve">retailer and </w:t>
      </w:r>
      <w:r w:rsidR="000030C9">
        <w:t>its</w:t>
      </w:r>
      <w:r w:rsidR="00953AE4">
        <w:t xml:space="preserve"> supplier that has arisen and not been remedied to the satisfaction of the supplier </w:t>
      </w:r>
      <w:r w:rsidR="00321F7B">
        <w:t xml:space="preserve">or </w:t>
      </w:r>
      <w:r w:rsidR="00953AE4">
        <w:t xml:space="preserve">retailer through </w:t>
      </w:r>
      <w:r w:rsidR="000030C9">
        <w:t>the</w:t>
      </w:r>
      <w:r w:rsidR="00953AE4">
        <w:t xml:space="preserve"> standard processes for addressing issue</w:t>
      </w:r>
      <w:r w:rsidR="00775A02">
        <w:t>s</w:t>
      </w:r>
      <w:r w:rsidR="00953AE4">
        <w:t xml:space="preserve">. </w:t>
      </w:r>
      <w:r w:rsidR="00232FF9">
        <w:t xml:space="preserve"> </w:t>
      </w:r>
    </w:p>
    <w:p w14:paraId="2ACF2C8F" w14:textId="77777777" w:rsidR="000015D4" w:rsidRDefault="00833416" w:rsidP="000015D4">
      <w:pPr>
        <w:pStyle w:val="Numbered"/>
      </w:pPr>
      <w:r>
        <w:t>T</w:t>
      </w:r>
      <w:r w:rsidR="003A32F8" w:rsidRPr="00474FEC">
        <w:t xml:space="preserve">he Commission recommended that </w:t>
      </w:r>
      <w:r>
        <w:t>a</w:t>
      </w:r>
      <w:r w:rsidR="003A32F8" w:rsidRPr="00474FEC">
        <w:t xml:space="preserve"> dispute resolution mechanism should provide access to an independent decision maker for disputes that are not able to be resolved </w:t>
      </w:r>
      <w:r w:rsidRPr="00474FEC">
        <w:t>directly between a retailer and a supplier</w:t>
      </w:r>
      <w:r>
        <w:t>.</w:t>
      </w:r>
      <w:r w:rsidR="003A32F8" w:rsidRPr="00474FEC">
        <w:rPr>
          <w:rStyle w:val="FootnoteReference"/>
        </w:rPr>
        <w:footnoteReference w:id="37"/>
      </w:r>
      <w:r w:rsidR="00F64C9F" w:rsidRPr="00F64C9F">
        <w:t xml:space="preserve"> </w:t>
      </w:r>
      <w:r w:rsidR="00F64C9F" w:rsidRPr="005E1ED3">
        <w:t>Preventing disputes</w:t>
      </w:r>
      <w:r w:rsidR="00F64C9F">
        <w:t xml:space="preserve"> arising where possible</w:t>
      </w:r>
      <w:r w:rsidR="00F64C9F" w:rsidRPr="005E1ED3">
        <w:t xml:space="preserve">, and resolving </w:t>
      </w:r>
      <w:r w:rsidR="00F64C9F">
        <w:t xml:space="preserve">them </w:t>
      </w:r>
      <w:r w:rsidR="00F64C9F" w:rsidRPr="005E1ED3">
        <w:t xml:space="preserve">earlier and more effectively, </w:t>
      </w:r>
      <w:r w:rsidR="00F64C9F">
        <w:t xml:space="preserve">will </w:t>
      </w:r>
      <w:r w:rsidR="00F64C9F" w:rsidRPr="005E1ED3">
        <w:t>benefit</w:t>
      </w:r>
      <w:r w:rsidR="00F64C9F">
        <w:t xml:space="preserve"> </w:t>
      </w:r>
      <w:r w:rsidR="00F64C9F" w:rsidRPr="00474FEC">
        <w:t>retailers</w:t>
      </w:r>
      <w:r w:rsidR="00F64C9F">
        <w:t xml:space="preserve">, </w:t>
      </w:r>
      <w:r w:rsidR="00F64C9F" w:rsidRPr="00474FEC">
        <w:t>suppliers</w:t>
      </w:r>
      <w:r w:rsidR="00F64C9F">
        <w:t xml:space="preserve"> and the whole sector</w:t>
      </w:r>
      <w:r w:rsidR="00F64C9F" w:rsidRPr="005E1ED3">
        <w:t>.</w:t>
      </w:r>
    </w:p>
    <w:p w14:paraId="4DDC6097" w14:textId="3EAA6AC7" w:rsidR="00D03C9C" w:rsidRPr="00D03C9C" w:rsidRDefault="00F64C9F" w:rsidP="000015D4">
      <w:pPr>
        <w:pStyle w:val="Numbered"/>
      </w:pPr>
      <w:r>
        <w:t>This chapter</w:t>
      </w:r>
      <w:r w:rsidR="00833416">
        <w:t xml:space="preserve"> </w:t>
      </w:r>
      <w:r>
        <w:t>discusses the context of the proposed dispute resolution processes</w:t>
      </w:r>
      <w:r w:rsidR="000C40CB">
        <w:t xml:space="preserve">, </w:t>
      </w:r>
      <w:r>
        <w:t>provides analysis on the key international examples of the UK and Australia</w:t>
      </w:r>
      <w:r w:rsidR="000C40CB">
        <w:t>, e</w:t>
      </w:r>
      <w:r>
        <w:t>xplains the criteria that may be used to evaluate dispute resolution options</w:t>
      </w:r>
      <w:r w:rsidR="000C40CB">
        <w:t xml:space="preserve">, and </w:t>
      </w:r>
      <w:r>
        <w:t>outlines possible options for New Zealand.</w:t>
      </w:r>
    </w:p>
    <w:p w14:paraId="642982CB" w14:textId="7FAE750E" w:rsidR="0002161C" w:rsidRDefault="00430B72" w:rsidP="00FB5B42">
      <w:pPr>
        <w:pStyle w:val="Heading2"/>
        <w:tabs>
          <w:tab w:val="left" w:pos="567"/>
        </w:tabs>
      </w:pPr>
      <w:bookmarkStart w:id="209" w:name="_Toc103173719"/>
      <w:bookmarkStart w:id="210" w:name="_Toc104358681"/>
      <w:bookmarkStart w:id="211" w:name="_Toc107919661"/>
      <w:bookmarkStart w:id="212" w:name="_Hlk102116945"/>
      <w:r>
        <w:t>8.2</w:t>
      </w:r>
      <w:r w:rsidR="00FB5B42">
        <w:tab/>
      </w:r>
      <w:r w:rsidR="0002161C">
        <w:t xml:space="preserve">Context of the </w:t>
      </w:r>
      <w:bookmarkEnd w:id="209"/>
      <w:bookmarkEnd w:id="210"/>
      <w:r w:rsidR="00EF7F10">
        <w:t>grocery industry</w:t>
      </w:r>
      <w:bookmarkEnd w:id="211"/>
    </w:p>
    <w:p w14:paraId="6A221E35" w14:textId="72F71011" w:rsidR="003D7D36" w:rsidRDefault="003D7D36" w:rsidP="003D7D36">
      <w:pPr>
        <w:pStyle w:val="Numbered"/>
      </w:pPr>
      <w:r>
        <w:t xml:space="preserve">Any disputes that arise will be </w:t>
      </w:r>
      <w:r w:rsidR="000015D4">
        <w:t>between</w:t>
      </w:r>
      <w:r>
        <w:t xml:space="preserve"> the </w:t>
      </w:r>
      <w:r w:rsidR="00775A02">
        <w:t xml:space="preserve">designated retailer </w:t>
      </w:r>
      <w:r w:rsidR="000015D4">
        <w:t xml:space="preserve">and </w:t>
      </w:r>
      <w:r w:rsidR="00775A02">
        <w:t>supplier</w:t>
      </w:r>
      <w:r w:rsidR="000015D4">
        <w:t xml:space="preserve">, </w:t>
      </w:r>
      <w:r w:rsidR="00775A02">
        <w:t xml:space="preserve">where both parties have </w:t>
      </w:r>
      <w:r>
        <w:t xml:space="preserve">a vested interest to resolve minor issues promptly and to their joint satisfaction, while preserving the ability to work together in the longer term. </w:t>
      </w:r>
    </w:p>
    <w:p w14:paraId="3E5BC9DE" w14:textId="24DE3BD6" w:rsidR="007C6CF6" w:rsidRDefault="000015D4" w:rsidP="00596ED1">
      <w:pPr>
        <w:pStyle w:val="Numbered"/>
      </w:pPr>
      <w:r>
        <w:t xml:space="preserve">Due to the fast moving nature of the retail grocery sector, and the hundreds of suppliers for each retailer, it is likely that there are many instances of issues being promptly resolved between the parties. </w:t>
      </w:r>
      <w:r w:rsidR="00197F36">
        <w:t>Where issues are not promptly resolved, t</w:t>
      </w:r>
      <w:r w:rsidR="0090152C" w:rsidRPr="0090152C">
        <w:t>here are s</w:t>
      </w:r>
      <w:r w:rsidR="00F268CF" w:rsidRPr="0090152C">
        <w:t xml:space="preserve">ome existing </w:t>
      </w:r>
      <w:r w:rsidR="009807C7">
        <w:t xml:space="preserve">dispute resolution </w:t>
      </w:r>
      <w:r w:rsidR="00F268CF" w:rsidRPr="0090152C">
        <w:t xml:space="preserve">processes. </w:t>
      </w:r>
      <w:r>
        <w:t xml:space="preserve">For example, both </w:t>
      </w:r>
      <w:r w:rsidR="004515B7">
        <w:t xml:space="preserve">major grocery retailers </w:t>
      </w:r>
      <w:r w:rsidR="007C6CF6">
        <w:t>have some form of escalation process in their respective supplier charters.</w:t>
      </w:r>
      <w:r w:rsidR="007C6CF6">
        <w:rPr>
          <w:rStyle w:val="FootnoteReference"/>
        </w:rPr>
        <w:footnoteReference w:id="38"/>
      </w:r>
      <w:r w:rsidR="007C6CF6">
        <w:t xml:space="preserve"> </w:t>
      </w:r>
    </w:p>
    <w:p w14:paraId="48E40994" w14:textId="53F02FC2" w:rsidR="00950BF6" w:rsidRDefault="00197F36" w:rsidP="0002161C">
      <w:pPr>
        <w:pStyle w:val="Numbered"/>
      </w:pPr>
      <w:r>
        <w:t>However, t</w:t>
      </w:r>
      <w:r w:rsidR="00895759">
        <w:t>here are indications that the existing mechanisms are not use</w:t>
      </w:r>
      <w:r w:rsidR="0097330C">
        <w:t>d</w:t>
      </w:r>
      <w:r w:rsidR="00895759">
        <w:t xml:space="preserve"> very often by </w:t>
      </w:r>
      <w:r w:rsidR="000015D4">
        <w:t>s</w:t>
      </w:r>
      <w:r w:rsidR="00895759">
        <w:t xml:space="preserve">uppliers. This </w:t>
      </w:r>
      <w:r w:rsidR="0097330C">
        <w:t>may</w:t>
      </w:r>
      <w:r w:rsidR="00895759">
        <w:t xml:space="preserve"> suggest that there are barriers </w:t>
      </w:r>
      <w:r w:rsidR="0097330C">
        <w:t xml:space="preserve">to </w:t>
      </w:r>
      <w:r w:rsidR="000015D4">
        <w:t>suppliers raising a dispute</w:t>
      </w:r>
      <w:r w:rsidR="00B76885">
        <w:t xml:space="preserve">, for example </w:t>
      </w:r>
      <w:r>
        <w:t xml:space="preserve">concern </w:t>
      </w:r>
      <w:r w:rsidR="00B76885">
        <w:t>about their relationship with the retailer or the financial costs (and time) of any action</w:t>
      </w:r>
      <w:r w:rsidR="000015D4">
        <w:t>.</w:t>
      </w:r>
    </w:p>
    <w:p w14:paraId="42C452C7" w14:textId="77777777" w:rsidR="00950BF6" w:rsidRDefault="00950BF6">
      <w:r>
        <w:br w:type="page"/>
      </w:r>
    </w:p>
    <w:p w14:paraId="6156D893" w14:textId="16525513" w:rsidR="000015D4" w:rsidRDefault="000015D4" w:rsidP="00FB5B42">
      <w:pPr>
        <w:pStyle w:val="Heading2"/>
        <w:tabs>
          <w:tab w:val="left" w:pos="567"/>
        </w:tabs>
      </w:pPr>
      <w:bookmarkStart w:id="213" w:name="_Toc107919662"/>
      <w:r>
        <w:lastRenderedPageBreak/>
        <w:t>8.3</w:t>
      </w:r>
      <w:r w:rsidR="00FB5B42">
        <w:tab/>
      </w:r>
      <w:r>
        <w:t>Dispute resolution for the Code</w:t>
      </w:r>
      <w:bookmarkEnd w:id="213"/>
    </w:p>
    <w:bookmarkEnd w:id="212"/>
    <w:p w14:paraId="3BDFA378" w14:textId="2A1CB694" w:rsidR="00F268CF" w:rsidRPr="00F268CF" w:rsidRDefault="00F268CF" w:rsidP="00F268CF">
      <w:pPr>
        <w:pStyle w:val="Numbered"/>
        <w:numPr>
          <w:ilvl w:val="0"/>
          <w:numId w:val="0"/>
        </w:numPr>
        <w:ind w:left="567" w:hanging="567"/>
        <w:rPr>
          <w:b/>
          <w:bCs/>
        </w:rPr>
      </w:pPr>
      <w:r>
        <w:rPr>
          <w:b/>
          <w:bCs/>
        </w:rPr>
        <w:t xml:space="preserve">The </w:t>
      </w:r>
      <w:r w:rsidR="0090152C">
        <w:rPr>
          <w:b/>
          <w:bCs/>
        </w:rPr>
        <w:t>jurisdiction</w:t>
      </w:r>
      <w:r>
        <w:rPr>
          <w:b/>
          <w:bCs/>
        </w:rPr>
        <w:t xml:space="preserve"> of </w:t>
      </w:r>
      <w:r w:rsidR="0002161C">
        <w:rPr>
          <w:b/>
          <w:bCs/>
        </w:rPr>
        <w:t xml:space="preserve">a </w:t>
      </w:r>
      <w:r>
        <w:rPr>
          <w:b/>
          <w:bCs/>
        </w:rPr>
        <w:t xml:space="preserve">dispute resolution </w:t>
      </w:r>
      <w:r w:rsidR="0090152C">
        <w:rPr>
          <w:b/>
          <w:bCs/>
        </w:rPr>
        <w:t xml:space="preserve">process </w:t>
      </w:r>
      <w:r w:rsidR="00DC7E32">
        <w:rPr>
          <w:b/>
          <w:bCs/>
        </w:rPr>
        <w:t xml:space="preserve">– what is a dispute? </w:t>
      </w:r>
    </w:p>
    <w:p w14:paraId="4D0693F7" w14:textId="434B523A" w:rsidR="00DC7E32" w:rsidRDefault="0090152C" w:rsidP="007323BB">
      <w:pPr>
        <w:pStyle w:val="Numbered"/>
      </w:pPr>
      <w:r w:rsidRPr="0090152C">
        <w:t xml:space="preserve">The dispute resolution process </w:t>
      </w:r>
      <w:r w:rsidR="00EF7F10">
        <w:t xml:space="preserve">would be </w:t>
      </w:r>
      <w:r w:rsidRPr="0090152C">
        <w:t>to settle</w:t>
      </w:r>
      <w:r w:rsidR="0097330C">
        <w:t xml:space="preserve"> any issues that may arise </w:t>
      </w:r>
      <w:r w:rsidRPr="0090152C">
        <w:t>regarding conduct regulated by the Code</w:t>
      </w:r>
      <w:r>
        <w:t xml:space="preserve">. </w:t>
      </w:r>
      <w:r w:rsidR="00895759">
        <w:t xml:space="preserve">There will be a mixed and varied range of potential disputes that could arise under the Code. </w:t>
      </w:r>
      <w:r w:rsidR="00DC7E32">
        <w:t>Some disputes will relate to contractual matters</w:t>
      </w:r>
      <w:r w:rsidR="0097330C">
        <w:t>, and others will not</w:t>
      </w:r>
      <w:r w:rsidR="00DC7E32">
        <w:t xml:space="preserve">. </w:t>
      </w:r>
      <w:r w:rsidR="00EF7F10">
        <w:t xml:space="preserve">A </w:t>
      </w:r>
      <w:r w:rsidR="00DC7E32">
        <w:t xml:space="preserve">light touch eligibility assessment process may be needed to </w:t>
      </w:r>
      <w:r w:rsidR="0097330C">
        <w:t xml:space="preserve">determine </w:t>
      </w:r>
      <w:r w:rsidR="00DC7E32">
        <w:t xml:space="preserve">whether an issue is </w:t>
      </w:r>
      <w:r w:rsidR="00492A15">
        <w:t>a dispute under the Code</w:t>
      </w:r>
      <w:r w:rsidR="005B2D68">
        <w:t xml:space="preserve"> or not</w:t>
      </w:r>
      <w:r w:rsidR="00DC7E32">
        <w:t>.</w:t>
      </w:r>
    </w:p>
    <w:p w14:paraId="4D26D980" w14:textId="5847B53F" w:rsidR="0090152C" w:rsidRPr="00F268CF" w:rsidRDefault="0090152C" w:rsidP="0090152C">
      <w:pPr>
        <w:pStyle w:val="Numbered"/>
        <w:numPr>
          <w:ilvl w:val="0"/>
          <w:numId w:val="0"/>
        </w:numPr>
        <w:ind w:left="567" w:hanging="567"/>
        <w:rPr>
          <w:b/>
          <w:bCs/>
        </w:rPr>
      </w:pPr>
      <w:r>
        <w:rPr>
          <w:b/>
          <w:bCs/>
        </w:rPr>
        <w:t>The possible parties to a dispute</w:t>
      </w:r>
      <w:r w:rsidR="0002161C">
        <w:rPr>
          <w:b/>
          <w:bCs/>
        </w:rPr>
        <w:t xml:space="preserve"> </w:t>
      </w:r>
    </w:p>
    <w:p w14:paraId="27531FA5" w14:textId="6B6E1081" w:rsidR="0090152C" w:rsidRDefault="0090152C" w:rsidP="00F41E13">
      <w:pPr>
        <w:pStyle w:val="Numbered"/>
      </w:pPr>
      <w:r>
        <w:t xml:space="preserve">The parties to a dispute will be the </w:t>
      </w:r>
      <w:r w:rsidR="00197F36">
        <w:t>designated r</w:t>
      </w:r>
      <w:r>
        <w:t xml:space="preserve">etailer and supplier. The </w:t>
      </w:r>
      <w:r w:rsidR="00EF7F10">
        <w:t xml:space="preserve">dispute resolution process </w:t>
      </w:r>
      <w:r>
        <w:t xml:space="preserve">will not cater to any disputes involving consumers. The only party able to raise a dispute using the process in the Code will be the </w:t>
      </w:r>
      <w:r w:rsidR="00AE756B">
        <w:t>supplier</w:t>
      </w:r>
      <w:r>
        <w:t xml:space="preserve">. </w:t>
      </w:r>
      <w:r w:rsidR="00ED1F06">
        <w:t>T</w:t>
      </w:r>
      <w:r>
        <w:t xml:space="preserve">his is consistent with the UK and Australian approaches. </w:t>
      </w:r>
    </w:p>
    <w:p w14:paraId="235BF614" w14:textId="77F52D02" w:rsidR="00040AD7" w:rsidRPr="00AE756B" w:rsidRDefault="00B137BA" w:rsidP="00040AD7">
      <w:pPr>
        <w:pStyle w:val="Numbered"/>
      </w:pPr>
      <w:r>
        <w:t xml:space="preserve">Nothing in the Code will prevent </w:t>
      </w:r>
      <w:r w:rsidR="00100417">
        <w:t xml:space="preserve">a </w:t>
      </w:r>
      <w:r w:rsidR="00EF7F10">
        <w:t xml:space="preserve">designated </w:t>
      </w:r>
      <w:r w:rsidR="00040AD7">
        <w:t>retailer from including a right for it to refer a dispute to arbitration in a supply agreement</w:t>
      </w:r>
      <w:r>
        <w:t>, should it want to.</w:t>
      </w:r>
    </w:p>
    <w:p w14:paraId="027640F0" w14:textId="08725E39" w:rsidR="00F268CF" w:rsidRPr="00F268CF" w:rsidRDefault="00F268CF" w:rsidP="00F268CF">
      <w:pPr>
        <w:pStyle w:val="Numbered"/>
        <w:numPr>
          <w:ilvl w:val="0"/>
          <w:numId w:val="0"/>
        </w:numPr>
        <w:ind w:left="567" w:hanging="567"/>
        <w:rPr>
          <w:b/>
          <w:bCs/>
        </w:rPr>
      </w:pPr>
      <w:r>
        <w:rPr>
          <w:b/>
          <w:bCs/>
        </w:rPr>
        <w:t xml:space="preserve">Estimated volume of disputes </w:t>
      </w:r>
    </w:p>
    <w:p w14:paraId="75B141B6" w14:textId="17A306C8" w:rsidR="00602BF5" w:rsidRDefault="00AA3D51" w:rsidP="00EA0D88">
      <w:pPr>
        <w:pStyle w:val="Numbered"/>
      </w:pPr>
      <w:r w:rsidRPr="003C067D">
        <w:t xml:space="preserve">The likely volume of disputes is unknown. </w:t>
      </w:r>
      <w:r w:rsidR="00521C27">
        <w:t>T</w:t>
      </w:r>
      <w:r w:rsidRPr="003C067D">
        <w:t>he UK’s Grocer</w:t>
      </w:r>
      <w:r w:rsidR="00391092">
        <w:t>ies</w:t>
      </w:r>
      <w:r w:rsidRPr="003C067D">
        <w:t xml:space="preserve"> Code Adjudicator only undert</w:t>
      </w:r>
      <w:r w:rsidR="00EE2FAB" w:rsidRPr="003C067D">
        <w:t>ook</w:t>
      </w:r>
      <w:r w:rsidRPr="003C067D">
        <w:t xml:space="preserve"> </w:t>
      </w:r>
      <w:r w:rsidR="00895759">
        <w:t>nine</w:t>
      </w:r>
      <w:r w:rsidR="00EE2FAB" w:rsidRPr="003C067D">
        <w:t xml:space="preserve"> Arbitrations </w:t>
      </w:r>
      <w:r w:rsidR="00C5645F">
        <w:t>between</w:t>
      </w:r>
      <w:r w:rsidR="00EE2FAB" w:rsidRPr="003C067D">
        <w:t xml:space="preserve"> 2014</w:t>
      </w:r>
      <w:r w:rsidR="00C5645F">
        <w:t xml:space="preserve"> and </w:t>
      </w:r>
      <w:r w:rsidR="00EE2FAB" w:rsidRPr="003C067D">
        <w:t>2021.</w:t>
      </w:r>
      <w:r w:rsidR="00EE2FAB" w:rsidRPr="003C067D">
        <w:rPr>
          <w:rStyle w:val="FootnoteReference"/>
        </w:rPr>
        <w:footnoteReference w:id="39"/>
      </w:r>
      <w:r w:rsidR="00EE2FAB" w:rsidRPr="003C067D">
        <w:t xml:space="preserve"> </w:t>
      </w:r>
      <w:r w:rsidR="00197F36">
        <w:t>In Australia, d</w:t>
      </w:r>
      <w:r w:rsidR="003C067D" w:rsidRPr="003C067D">
        <w:t xml:space="preserve">uring the 2020-21 reporting period, there were only </w:t>
      </w:r>
      <w:r w:rsidR="00895759">
        <w:t>four</w:t>
      </w:r>
      <w:r w:rsidR="003C067D" w:rsidRPr="003C067D">
        <w:t xml:space="preserve"> complaints raised by suppliers to the relevant retailer’s Code Arbiter</w:t>
      </w:r>
      <w:r w:rsidR="00040AD7">
        <w:t>.</w:t>
      </w:r>
      <w:r w:rsidR="003C067D" w:rsidRPr="003C067D">
        <w:rPr>
          <w:rStyle w:val="FootnoteReference"/>
        </w:rPr>
        <w:footnoteReference w:id="40"/>
      </w:r>
    </w:p>
    <w:p w14:paraId="1CD7AA8A" w14:textId="0D05F235" w:rsidR="00EF7F10" w:rsidRDefault="00EF7F10" w:rsidP="00FB5B42">
      <w:pPr>
        <w:pStyle w:val="Heading2"/>
        <w:tabs>
          <w:tab w:val="left" w:pos="567"/>
        </w:tabs>
      </w:pPr>
      <w:bookmarkStart w:id="214" w:name="_Toc107919663"/>
      <w:bookmarkStart w:id="215" w:name="_Hlk102029536"/>
      <w:r>
        <w:t>8.4</w:t>
      </w:r>
      <w:r w:rsidR="00FB5B42">
        <w:tab/>
      </w:r>
      <w:r>
        <w:t>Examples of dispute resolution</w:t>
      </w:r>
      <w:bookmarkEnd w:id="214"/>
    </w:p>
    <w:p w14:paraId="0DF5B99B" w14:textId="3E1BBA34" w:rsidR="0090072F" w:rsidRPr="0090072F" w:rsidRDefault="0090072F" w:rsidP="0090072F">
      <w:pPr>
        <w:pStyle w:val="Numbered"/>
        <w:numPr>
          <w:ilvl w:val="0"/>
          <w:numId w:val="0"/>
        </w:numPr>
        <w:ind w:left="567" w:hanging="567"/>
        <w:rPr>
          <w:b/>
          <w:bCs/>
        </w:rPr>
      </w:pPr>
      <w:r>
        <w:rPr>
          <w:b/>
          <w:bCs/>
        </w:rPr>
        <w:t>General background to dispute resolution</w:t>
      </w:r>
      <w:r w:rsidR="00EF7F10">
        <w:rPr>
          <w:b/>
          <w:bCs/>
        </w:rPr>
        <w:t xml:space="preserve"> in New Zealand</w:t>
      </w:r>
    </w:p>
    <w:p w14:paraId="4C167A8B" w14:textId="77777777" w:rsidR="00197F36" w:rsidRDefault="00197F36" w:rsidP="00197F36">
      <w:pPr>
        <w:pStyle w:val="Numbered"/>
      </w:pPr>
      <w:r>
        <w:t>A full range of dispute resolution processes are available in New Zealand, ranging from self-resolution to determinative with varying degrees of formality and control over proceedings for the parties to the dispute.</w:t>
      </w:r>
      <w:r>
        <w:rPr>
          <w:rStyle w:val="FootnoteReference"/>
        </w:rPr>
        <w:footnoteReference w:id="41"/>
      </w:r>
    </w:p>
    <w:p w14:paraId="2FA30CF8" w14:textId="77777777" w:rsidR="00197F36" w:rsidRDefault="00197F36" w:rsidP="00574D16">
      <w:pPr>
        <w:pStyle w:val="Numbered"/>
      </w:pPr>
      <w:r>
        <w:t>There are at least 55 different dispute resolution schemes in New Zealand, according to t</w:t>
      </w:r>
      <w:r w:rsidR="0090072F" w:rsidRPr="00A90EEC">
        <w:t xml:space="preserve">he Government Centre for Dispute Resolution </w:t>
      </w:r>
      <w:r w:rsidR="0090072F">
        <w:t>(</w:t>
      </w:r>
      <w:r w:rsidR="0090072F" w:rsidRPr="00197F36">
        <w:rPr>
          <w:b/>
          <w:bCs/>
        </w:rPr>
        <w:t>GCDR</w:t>
      </w:r>
      <w:r w:rsidR="0090072F">
        <w:t>)</w:t>
      </w:r>
      <w:r w:rsidR="0090072F" w:rsidRPr="00A90EEC">
        <w:t xml:space="preserve">. These </w:t>
      </w:r>
      <w:r>
        <w:t>schemes cover</w:t>
      </w:r>
      <w:r w:rsidR="0090072F" w:rsidRPr="00A90EEC">
        <w:t xml:space="preserve"> a wide range of areas </w:t>
      </w:r>
      <w:r w:rsidR="0090072F" w:rsidRPr="00A90EEC">
        <w:lastRenderedPageBreak/>
        <w:t>including consumer protection (disputes between consumers and retailers), property and building</w:t>
      </w:r>
      <w:r w:rsidR="00B105D7">
        <w:t>,</w:t>
      </w:r>
      <w:r w:rsidR="00040AD7">
        <w:t xml:space="preserve"> </w:t>
      </w:r>
      <w:r w:rsidR="0090072F" w:rsidRPr="00970113">
        <w:t xml:space="preserve">and human rights. </w:t>
      </w:r>
    </w:p>
    <w:p w14:paraId="19036263" w14:textId="1057739A" w:rsidR="0090072F" w:rsidRPr="0090072F" w:rsidRDefault="007018C5" w:rsidP="0090072F">
      <w:pPr>
        <w:pStyle w:val="Numbered"/>
        <w:numPr>
          <w:ilvl w:val="0"/>
          <w:numId w:val="0"/>
        </w:numPr>
        <w:rPr>
          <w:b/>
          <w:bCs/>
        </w:rPr>
      </w:pPr>
      <w:r>
        <w:rPr>
          <w:b/>
          <w:bCs/>
        </w:rPr>
        <w:t xml:space="preserve">An example of a New Zealand </w:t>
      </w:r>
      <w:r w:rsidR="0090072F" w:rsidRPr="0090072F">
        <w:rPr>
          <w:b/>
          <w:bCs/>
        </w:rPr>
        <w:t xml:space="preserve">dispute resolution process </w:t>
      </w:r>
      <w:r>
        <w:rPr>
          <w:b/>
          <w:bCs/>
        </w:rPr>
        <w:t>involving a supplier and retailer</w:t>
      </w:r>
    </w:p>
    <w:p w14:paraId="180A6A94" w14:textId="0B3E0D6D" w:rsidR="0090072F" w:rsidRDefault="0090072F" w:rsidP="0090072F">
      <w:pPr>
        <w:pStyle w:val="Numbered"/>
      </w:pPr>
      <w:r w:rsidRPr="0090072F">
        <w:t xml:space="preserve">The Fuel Industry Act </w:t>
      </w:r>
      <w:r w:rsidR="003B5A66">
        <w:t xml:space="preserve">2020 </w:t>
      </w:r>
      <w:r w:rsidR="00EF7F10">
        <w:t>created a mediation-arbitration</w:t>
      </w:r>
      <w:r w:rsidR="00EF7F10" w:rsidRPr="0090072F">
        <w:t xml:space="preserve"> </w:t>
      </w:r>
      <w:r w:rsidRPr="0090072F">
        <w:t>dispute resolution scheme for disputes between wholesale fuel suppliers and their wholesale customers that relate to the terminal gate pricing regime or the wholesale contract rules.</w:t>
      </w:r>
      <w:r w:rsidR="007776B7">
        <w:rPr>
          <w:rStyle w:val="FootnoteReference"/>
        </w:rPr>
        <w:footnoteReference w:id="42"/>
      </w:r>
      <w:r w:rsidRPr="0090072F">
        <w:t xml:space="preserve"> This dispute resolution process is not available to consumers.</w:t>
      </w:r>
    </w:p>
    <w:p w14:paraId="218A5AAE" w14:textId="4BB0CBD4" w:rsidR="007018C5" w:rsidRPr="007018C5" w:rsidRDefault="007018C5" w:rsidP="007018C5">
      <w:pPr>
        <w:pStyle w:val="Numbered"/>
        <w:numPr>
          <w:ilvl w:val="0"/>
          <w:numId w:val="0"/>
        </w:numPr>
        <w:rPr>
          <w:b/>
          <w:bCs/>
          <w:lang w:val="mi-NZ"/>
        </w:rPr>
      </w:pPr>
      <w:r>
        <w:rPr>
          <w:b/>
          <w:bCs/>
        </w:rPr>
        <w:t xml:space="preserve">Considering tikanga </w:t>
      </w:r>
      <w:r>
        <w:rPr>
          <w:b/>
          <w:bCs/>
          <w:lang w:val="mi-NZ"/>
        </w:rPr>
        <w:t>Māori</w:t>
      </w:r>
    </w:p>
    <w:p w14:paraId="32A9835A" w14:textId="67B891D5" w:rsidR="00895759" w:rsidRPr="00753905" w:rsidRDefault="00895759" w:rsidP="00895759">
      <w:pPr>
        <w:pStyle w:val="Numbered"/>
      </w:pPr>
      <w:r>
        <w:t xml:space="preserve">We also want to consider </w:t>
      </w:r>
      <w:r w:rsidRPr="00753905">
        <w:t xml:space="preserve">how </w:t>
      </w:r>
      <w:r>
        <w:t xml:space="preserve">to design and </w:t>
      </w:r>
      <w:r w:rsidRPr="0005566F">
        <w:t xml:space="preserve">deliver </w:t>
      </w:r>
      <w:r>
        <w:t xml:space="preserve">dispute resolution processes that are </w:t>
      </w:r>
      <w:r w:rsidR="003B5A66">
        <w:t xml:space="preserve">culturally responsive to </w:t>
      </w:r>
      <w:r w:rsidR="003B5A66" w:rsidRPr="0005566F">
        <w:t>Māori</w:t>
      </w:r>
      <w:r w:rsidR="003B5A66">
        <w:t xml:space="preserve"> and </w:t>
      </w:r>
      <w:r>
        <w:t xml:space="preserve">accessible to any </w:t>
      </w:r>
      <w:r>
        <w:rPr>
          <w:lang w:val="mi-NZ"/>
        </w:rPr>
        <w:t xml:space="preserve">Māori </w:t>
      </w:r>
      <w:r>
        <w:t>supplier who has a need to seek dispute resolution</w:t>
      </w:r>
      <w:r w:rsidRPr="00753905">
        <w:t>.</w:t>
      </w:r>
    </w:p>
    <w:p w14:paraId="25A46678" w14:textId="38F3785F" w:rsidR="00B75C37" w:rsidRPr="0012513C" w:rsidRDefault="00B75C37" w:rsidP="0090072F">
      <w:pPr>
        <w:pStyle w:val="Numbered"/>
      </w:pPr>
      <w:r w:rsidRPr="00753905">
        <w:t>A</w:t>
      </w:r>
      <w:r w:rsidR="00895759">
        <w:t xml:space="preserve">n </w:t>
      </w:r>
      <w:r w:rsidRPr="00753905">
        <w:t xml:space="preserve">example of a scheme that sought to make a strong commitment to meeting Te Tiriti obligations is the </w:t>
      </w:r>
      <w:r w:rsidR="009B67F9" w:rsidRPr="00753905">
        <w:t>recent</w:t>
      </w:r>
      <w:r w:rsidR="009B67F9">
        <w:t>ly</w:t>
      </w:r>
      <w:r w:rsidR="00895759">
        <w:t xml:space="preserve"> established</w:t>
      </w:r>
      <w:r w:rsidRPr="00753905">
        <w:t xml:space="preserve"> Tertiary Education Learner Dispute Resolution Scheme.</w:t>
      </w:r>
      <w:r w:rsidR="00753905" w:rsidRPr="00753905">
        <w:t xml:space="preserve"> Some of the ways this was done include: offering tikanga-based processes</w:t>
      </w:r>
      <w:r w:rsidR="00760471">
        <w:t xml:space="preserve"> (such as having regard to the appropriate tikanga </w:t>
      </w:r>
      <w:r w:rsidR="00760471">
        <w:rPr>
          <w:lang w:val="mi-NZ"/>
        </w:rPr>
        <w:t xml:space="preserve">Māori </w:t>
      </w:r>
      <w:r w:rsidR="00760471">
        <w:t>and upholding the mana of the parties in a dispute)</w:t>
      </w:r>
      <w:r w:rsidR="00753905" w:rsidRPr="00753905">
        <w:t xml:space="preserve">, </w:t>
      </w:r>
      <w:r w:rsidR="00760471">
        <w:t>providing the opportunity for</w:t>
      </w:r>
      <w:r w:rsidR="00753905" w:rsidRPr="00753905">
        <w:t xml:space="preserve"> te reo</w:t>
      </w:r>
      <w:r w:rsidR="00760471">
        <w:t xml:space="preserve"> </w:t>
      </w:r>
      <w:r w:rsidR="00760471">
        <w:rPr>
          <w:lang w:val="mi-NZ"/>
        </w:rPr>
        <w:t>Māori (</w:t>
      </w:r>
      <w:r w:rsidR="00760471">
        <w:t xml:space="preserve">or New Zealand sign language) </w:t>
      </w:r>
      <w:r w:rsidR="00760471">
        <w:rPr>
          <w:lang w:val="mi-NZ"/>
        </w:rPr>
        <w:t>to</w:t>
      </w:r>
      <w:r w:rsidR="00C12B1D">
        <w:rPr>
          <w:lang w:val="mi-NZ"/>
        </w:rPr>
        <w:t xml:space="preserve"> </w:t>
      </w:r>
      <w:r w:rsidR="00760471">
        <w:t>be used</w:t>
      </w:r>
      <w:r w:rsidR="005E3CE8">
        <w:t>,</w:t>
      </w:r>
      <w:r w:rsidR="00760471">
        <w:t xml:space="preserve"> </w:t>
      </w:r>
      <w:r w:rsidR="00753905" w:rsidRPr="00753905">
        <w:t xml:space="preserve">requirements for culturally competent practitioners, and reporting on outcomes for </w:t>
      </w:r>
      <w:r w:rsidR="00753905" w:rsidRPr="00753905">
        <w:rPr>
          <w:lang w:val="mi-NZ"/>
        </w:rPr>
        <w:t>Māori.</w:t>
      </w:r>
      <w:r w:rsidR="002D553D">
        <w:rPr>
          <w:rStyle w:val="FootnoteReference"/>
          <w:lang w:val="mi-NZ"/>
        </w:rPr>
        <w:footnoteReference w:id="43"/>
      </w:r>
      <w:r w:rsidR="00753905" w:rsidRPr="00753905">
        <w:rPr>
          <w:lang w:val="mi-NZ"/>
        </w:rPr>
        <w:t xml:space="preserve"> </w:t>
      </w:r>
    </w:p>
    <w:p w14:paraId="3B708AC2" w14:textId="6A5CBFFD" w:rsidR="00613281" w:rsidRPr="004E3667" w:rsidRDefault="007E7E07" w:rsidP="004E3667">
      <w:pPr>
        <w:pStyle w:val="Numbered"/>
        <w:numPr>
          <w:ilvl w:val="0"/>
          <w:numId w:val="0"/>
        </w:numPr>
        <w:rPr>
          <w:b/>
          <w:bCs/>
        </w:rPr>
      </w:pPr>
      <w:r w:rsidRPr="004E3667">
        <w:rPr>
          <w:b/>
          <w:bCs/>
        </w:rPr>
        <w:t xml:space="preserve">United Kingdom </w:t>
      </w:r>
    </w:p>
    <w:p w14:paraId="5C7E153C" w14:textId="04F62A2A" w:rsidR="00B74BC7" w:rsidRDefault="009054BE" w:rsidP="00C84974">
      <w:pPr>
        <w:pStyle w:val="Numbered"/>
      </w:pPr>
      <w:r>
        <w:t>T</w:t>
      </w:r>
      <w:r w:rsidR="00981A2A">
        <w:t xml:space="preserve">he UK </w:t>
      </w:r>
      <w:r w:rsidR="005E3CE8">
        <w:t xml:space="preserve">Code </w:t>
      </w:r>
      <w:r w:rsidR="00981A2A">
        <w:t xml:space="preserve">dispute resolution process </w:t>
      </w:r>
      <w:r w:rsidR="0038138D">
        <w:t xml:space="preserve">follows a negotiation </w:t>
      </w:r>
      <w:r w:rsidR="00EE2FAB">
        <w:t xml:space="preserve">– </w:t>
      </w:r>
      <w:r w:rsidR="0038138D">
        <w:t xml:space="preserve">arbitration model </w:t>
      </w:r>
      <w:r w:rsidR="00536183">
        <w:t xml:space="preserve">that is used for instances when a supplier alleges a breach of the Code by a retailer (a dispute). The UK Code provides for </w:t>
      </w:r>
      <w:r w:rsidR="00981A2A">
        <w:t>a</w:t>
      </w:r>
      <w:r w:rsidR="0038138D">
        <w:t xml:space="preserve"> relatively</w:t>
      </w:r>
      <w:r w:rsidR="00981A2A">
        <w:t xml:space="preserve"> short </w:t>
      </w:r>
      <w:r w:rsidR="0038138D">
        <w:t xml:space="preserve">negotiation </w:t>
      </w:r>
      <w:r w:rsidR="00981A2A">
        <w:t xml:space="preserve">phase </w:t>
      </w:r>
      <w:r w:rsidR="0038138D">
        <w:t xml:space="preserve">of 21 days, within which time the dispute is to be resolved to the satisfaction of the supplier. </w:t>
      </w:r>
      <w:r w:rsidR="007372B1">
        <w:t>D</w:t>
      </w:r>
      <w:r w:rsidR="00536183">
        <w:t>isputes that are not resolved by negotiation go to arbitration</w:t>
      </w:r>
      <w:r w:rsidR="00B74BC7">
        <w:t xml:space="preserve"> within four months</w:t>
      </w:r>
      <w:r w:rsidR="00536183">
        <w:t xml:space="preserve">. </w:t>
      </w:r>
      <w:r w:rsidR="00B74BC7">
        <w:t xml:space="preserve">Arbitration is </w:t>
      </w:r>
      <w:r w:rsidR="00981A2A">
        <w:t xml:space="preserve">conducted by the </w:t>
      </w:r>
      <w:r w:rsidR="00B74BC7">
        <w:t xml:space="preserve">Groceries Code </w:t>
      </w:r>
      <w:r w:rsidR="00981A2A">
        <w:t>Adjudicator</w:t>
      </w:r>
      <w:r w:rsidR="009E7537">
        <w:t xml:space="preserve"> (</w:t>
      </w:r>
      <w:r w:rsidR="009E7537" w:rsidRPr="009E7537">
        <w:rPr>
          <w:b/>
          <w:bCs/>
        </w:rPr>
        <w:t>GCA</w:t>
      </w:r>
      <w:r w:rsidR="009E7537">
        <w:t>)</w:t>
      </w:r>
      <w:r w:rsidR="00B74BC7">
        <w:t xml:space="preserve">, </w:t>
      </w:r>
      <w:r w:rsidR="004E3667">
        <w:t xml:space="preserve">and </w:t>
      </w:r>
      <w:r w:rsidR="00B74BC7">
        <w:t xml:space="preserve">costs are </w:t>
      </w:r>
      <w:r w:rsidR="004E3667">
        <w:t xml:space="preserve">generally </w:t>
      </w:r>
      <w:r w:rsidR="00B74BC7">
        <w:t xml:space="preserve">to be borne by the </w:t>
      </w:r>
      <w:r w:rsidR="00000324">
        <w:t xml:space="preserve">designated </w:t>
      </w:r>
      <w:r w:rsidR="00B74BC7">
        <w:t>retailer</w:t>
      </w:r>
      <w:r w:rsidR="004E3667">
        <w:t>.</w:t>
      </w:r>
      <w:r w:rsidR="00B74BC7">
        <w:t xml:space="preserve"> </w:t>
      </w:r>
    </w:p>
    <w:tbl>
      <w:tblPr>
        <w:tblStyle w:val="TableGrid"/>
        <w:tblW w:w="0" w:type="auto"/>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Look w:val="04A0" w:firstRow="1" w:lastRow="0" w:firstColumn="1" w:lastColumn="0" w:noHBand="0" w:noVBand="1"/>
      </w:tblPr>
      <w:tblGrid>
        <w:gridCol w:w="1276"/>
        <w:gridCol w:w="7784"/>
      </w:tblGrid>
      <w:tr w:rsidR="000D0B3F" w14:paraId="616545C2" w14:textId="77777777" w:rsidTr="00FB2DC7">
        <w:trPr>
          <w:trHeight w:val="551"/>
        </w:trPr>
        <w:tc>
          <w:tcPr>
            <w:tcW w:w="1276" w:type="dxa"/>
            <w:shd w:val="clear" w:color="auto" w:fill="D9D9D9" w:themeFill="background1" w:themeFillShade="D9"/>
          </w:tcPr>
          <w:p w14:paraId="1E1141FE" w14:textId="2A5341D9" w:rsidR="00E21D8A" w:rsidRPr="000D0B3F" w:rsidRDefault="00B74BC7" w:rsidP="00FB2DC7">
            <w:pPr>
              <w:pStyle w:val="Numbered"/>
              <w:numPr>
                <w:ilvl w:val="0"/>
                <w:numId w:val="0"/>
              </w:numPr>
              <w:spacing w:before="0"/>
              <w:rPr>
                <w:b/>
                <w:bCs/>
              </w:rPr>
            </w:pPr>
            <w:r w:rsidRPr="000D0B3F">
              <w:rPr>
                <w:b/>
                <w:bCs/>
              </w:rPr>
              <w:t>Functions relating to dispute resolution</w:t>
            </w:r>
            <w:r w:rsidR="00E21D8A" w:rsidRPr="000D0B3F">
              <w:rPr>
                <w:b/>
                <w:bCs/>
              </w:rPr>
              <w:t xml:space="preserve"> </w:t>
            </w:r>
          </w:p>
        </w:tc>
        <w:tc>
          <w:tcPr>
            <w:tcW w:w="7784" w:type="dxa"/>
            <w:shd w:val="clear" w:color="auto" w:fill="D9D9D9" w:themeFill="background1" w:themeFillShade="D9"/>
          </w:tcPr>
          <w:p w14:paraId="2D3B758F" w14:textId="0169E3C2" w:rsidR="00E21D8A" w:rsidRPr="001F50FE" w:rsidRDefault="00B74BC7" w:rsidP="00FB2DC7">
            <w:pPr>
              <w:pStyle w:val="Numbered"/>
              <w:numPr>
                <w:ilvl w:val="0"/>
                <w:numId w:val="0"/>
              </w:numPr>
              <w:spacing w:before="0" w:after="120"/>
              <w:rPr>
                <w:sz w:val="20"/>
                <w:szCs w:val="20"/>
              </w:rPr>
            </w:pPr>
            <w:r w:rsidRPr="001F50FE">
              <w:rPr>
                <w:sz w:val="20"/>
                <w:szCs w:val="20"/>
              </w:rPr>
              <w:t>A d</w:t>
            </w:r>
            <w:r w:rsidR="00E21D8A" w:rsidRPr="001F50FE">
              <w:rPr>
                <w:sz w:val="20"/>
                <w:szCs w:val="20"/>
              </w:rPr>
              <w:t xml:space="preserve">esignated retailer must have a </w:t>
            </w:r>
            <w:r w:rsidR="00E21D8A" w:rsidRPr="001F50FE">
              <w:rPr>
                <w:b/>
                <w:bCs/>
                <w:sz w:val="20"/>
                <w:szCs w:val="20"/>
              </w:rPr>
              <w:t>Senior Buyer</w:t>
            </w:r>
            <w:r w:rsidR="004D34D1">
              <w:rPr>
                <w:b/>
                <w:bCs/>
                <w:sz w:val="20"/>
                <w:szCs w:val="20"/>
              </w:rPr>
              <w:t xml:space="preserve"> </w:t>
            </w:r>
            <w:r w:rsidR="00E21D8A" w:rsidRPr="001F50FE">
              <w:rPr>
                <w:sz w:val="20"/>
                <w:szCs w:val="20"/>
              </w:rPr>
              <w:t xml:space="preserve">within a </w:t>
            </w:r>
            <w:r w:rsidRPr="001F50FE">
              <w:rPr>
                <w:sz w:val="20"/>
                <w:szCs w:val="20"/>
              </w:rPr>
              <w:t>its b</w:t>
            </w:r>
            <w:r w:rsidR="00E21D8A" w:rsidRPr="001F50FE">
              <w:rPr>
                <w:sz w:val="20"/>
                <w:szCs w:val="20"/>
              </w:rPr>
              <w:t xml:space="preserve">uying </w:t>
            </w:r>
            <w:r w:rsidRPr="001F50FE">
              <w:rPr>
                <w:sz w:val="20"/>
                <w:szCs w:val="20"/>
              </w:rPr>
              <w:t>t</w:t>
            </w:r>
            <w:r w:rsidR="00E21D8A" w:rsidRPr="001F50FE">
              <w:rPr>
                <w:sz w:val="20"/>
                <w:szCs w:val="20"/>
              </w:rPr>
              <w:t>eam.</w:t>
            </w:r>
          </w:p>
          <w:p w14:paraId="692E7AA7" w14:textId="53BA9E47" w:rsidR="00FB2DC7" w:rsidRDefault="006A4C59" w:rsidP="00FB2DC7">
            <w:pPr>
              <w:spacing w:after="120"/>
              <w:rPr>
                <w:sz w:val="20"/>
                <w:szCs w:val="20"/>
              </w:rPr>
            </w:pPr>
            <w:r>
              <w:rPr>
                <w:sz w:val="20"/>
                <w:szCs w:val="20"/>
              </w:rPr>
              <w:t>R</w:t>
            </w:r>
            <w:r w:rsidR="00E21D8A" w:rsidRPr="001F50FE">
              <w:rPr>
                <w:sz w:val="20"/>
                <w:szCs w:val="20"/>
              </w:rPr>
              <w:t xml:space="preserve">etailers must appoint a </w:t>
            </w:r>
            <w:r w:rsidR="00E21D8A" w:rsidRPr="001F50FE">
              <w:rPr>
                <w:b/>
                <w:bCs/>
                <w:sz w:val="20"/>
                <w:szCs w:val="20"/>
              </w:rPr>
              <w:t>Code Compliance Office</w:t>
            </w:r>
            <w:r w:rsidR="00EA66B5" w:rsidRPr="001F50FE">
              <w:rPr>
                <w:b/>
                <w:bCs/>
                <w:sz w:val="20"/>
                <w:szCs w:val="20"/>
              </w:rPr>
              <w:t>r</w:t>
            </w:r>
            <w:r w:rsidR="00FB2DC7">
              <w:rPr>
                <w:b/>
                <w:bCs/>
                <w:sz w:val="20"/>
                <w:szCs w:val="20"/>
              </w:rPr>
              <w:t xml:space="preserve"> </w:t>
            </w:r>
            <w:r w:rsidR="00FB2DC7" w:rsidRPr="00203377">
              <w:rPr>
                <w:sz w:val="20"/>
                <w:szCs w:val="20"/>
              </w:rPr>
              <w:t>to be</w:t>
            </w:r>
            <w:r w:rsidR="00FB2DC7">
              <w:rPr>
                <w:b/>
                <w:bCs/>
                <w:sz w:val="20"/>
                <w:szCs w:val="20"/>
              </w:rPr>
              <w:t xml:space="preserve"> </w:t>
            </w:r>
            <w:r w:rsidR="003B06C7">
              <w:rPr>
                <w:sz w:val="20"/>
                <w:szCs w:val="20"/>
              </w:rPr>
              <w:t>a point</w:t>
            </w:r>
            <w:r w:rsidR="00EA66B5" w:rsidRPr="001F50FE">
              <w:rPr>
                <w:sz w:val="20"/>
                <w:szCs w:val="20"/>
              </w:rPr>
              <w:t xml:space="preserve"> </w:t>
            </w:r>
            <w:r w:rsidR="003B06C7">
              <w:rPr>
                <w:sz w:val="20"/>
                <w:szCs w:val="20"/>
              </w:rPr>
              <w:t xml:space="preserve">of contact for enquiries and issues. The Code Compliance Officer is an employee of the retailer, with access to the necessary documents and resources, but separate of the buying team. </w:t>
            </w:r>
          </w:p>
          <w:p w14:paraId="171D7D86" w14:textId="5CCDCC70" w:rsidR="00602BF5" w:rsidRPr="001F50FE" w:rsidRDefault="00035208" w:rsidP="00FB2DC7">
            <w:pPr>
              <w:spacing w:after="120"/>
              <w:rPr>
                <w:sz w:val="20"/>
                <w:szCs w:val="20"/>
              </w:rPr>
            </w:pPr>
            <w:r w:rsidRPr="001F50FE">
              <w:rPr>
                <w:sz w:val="20"/>
                <w:szCs w:val="20"/>
              </w:rPr>
              <w:t xml:space="preserve">The </w:t>
            </w:r>
            <w:r w:rsidRPr="001F50FE">
              <w:rPr>
                <w:b/>
                <w:bCs/>
                <w:sz w:val="20"/>
                <w:szCs w:val="20"/>
              </w:rPr>
              <w:t>GCA</w:t>
            </w:r>
            <w:r w:rsidRPr="001F50FE">
              <w:rPr>
                <w:sz w:val="20"/>
                <w:szCs w:val="20"/>
              </w:rPr>
              <w:t xml:space="preserve"> is an independent statutory office established by the </w:t>
            </w:r>
            <w:r w:rsidRPr="001F50FE">
              <w:rPr>
                <w:b/>
                <w:bCs/>
                <w:sz w:val="20"/>
                <w:szCs w:val="20"/>
              </w:rPr>
              <w:t xml:space="preserve">Groceries Code Adjudicator Act 2013. </w:t>
            </w:r>
            <w:r w:rsidR="00EA66B5" w:rsidRPr="001F50FE">
              <w:rPr>
                <w:sz w:val="20"/>
                <w:szCs w:val="20"/>
              </w:rPr>
              <w:t>The GCA administer</w:t>
            </w:r>
            <w:r w:rsidR="00871F8B">
              <w:rPr>
                <w:sz w:val="20"/>
                <w:szCs w:val="20"/>
              </w:rPr>
              <w:t>s</w:t>
            </w:r>
            <w:r w:rsidR="00EA66B5" w:rsidRPr="001F50FE">
              <w:rPr>
                <w:sz w:val="20"/>
                <w:szCs w:val="20"/>
              </w:rPr>
              <w:t xml:space="preserve"> any arbitration </w:t>
            </w:r>
            <w:r w:rsidR="00602BF5">
              <w:rPr>
                <w:sz w:val="20"/>
                <w:szCs w:val="20"/>
              </w:rPr>
              <w:t>processes.</w:t>
            </w:r>
          </w:p>
        </w:tc>
      </w:tr>
      <w:tr w:rsidR="000D0B3F" w14:paraId="3A809925" w14:textId="77777777" w:rsidTr="00FB2DC7">
        <w:tc>
          <w:tcPr>
            <w:tcW w:w="1276" w:type="dxa"/>
            <w:shd w:val="clear" w:color="auto" w:fill="D9D9D9" w:themeFill="background1" w:themeFillShade="D9"/>
          </w:tcPr>
          <w:p w14:paraId="053219A4" w14:textId="615D842D" w:rsidR="00E21D8A" w:rsidRPr="000D0B3F" w:rsidRDefault="000D0B3F" w:rsidP="00FB2DC7">
            <w:pPr>
              <w:pStyle w:val="Numbered"/>
              <w:numPr>
                <w:ilvl w:val="0"/>
                <w:numId w:val="0"/>
              </w:numPr>
              <w:spacing w:before="0"/>
              <w:rPr>
                <w:b/>
                <w:bCs/>
              </w:rPr>
            </w:pPr>
            <w:r w:rsidRPr="000D0B3F">
              <w:rPr>
                <w:b/>
                <w:bCs/>
              </w:rPr>
              <w:t>Dispute resolution p</w:t>
            </w:r>
            <w:r w:rsidR="00E21D8A" w:rsidRPr="000D0B3F">
              <w:rPr>
                <w:b/>
                <w:bCs/>
              </w:rPr>
              <w:t>rocess</w:t>
            </w:r>
            <w:r w:rsidR="00035208" w:rsidRPr="000D0B3F">
              <w:rPr>
                <w:b/>
                <w:bCs/>
              </w:rPr>
              <w:t>es</w:t>
            </w:r>
          </w:p>
        </w:tc>
        <w:tc>
          <w:tcPr>
            <w:tcW w:w="7784" w:type="dxa"/>
            <w:shd w:val="clear" w:color="auto" w:fill="D9D9D9" w:themeFill="background1" w:themeFillShade="D9"/>
          </w:tcPr>
          <w:p w14:paraId="7C5DF135" w14:textId="0D0C2072" w:rsidR="000D0B3F" w:rsidRPr="001F50FE" w:rsidRDefault="000D0B3F" w:rsidP="00FB2DC7">
            <w:pPr>
              <w:spacing w:after="120"/>
              <w:rPr>
                <w:sz w:val="20"/>
                <w:szCs w:val="20"/>
              </w:rPr>
            </w:pPr>
            <w:r w:rsidRPr="001F50FE">
              <w:rPr>
                <w:sz w:val="20"/>
                <w:szCs w:val="20"/>
              </w:rPr>
              <w:t>The Senior Buyer will</w:t>
            </w:r>
            <w:r w:rsidR="006A4C59">
              <w:rPr>
                <w:sz w:val="20"/>
                <w:szCs w:val="20"/>
              </w:rPr>
              <w:t xml:space="preserve"> </w:t>
            </w:r>
            <w:r w:rsidRPr="001F50FE">
              <w:rPr>
                <w:sz w:val="20"/>
                <w:szCs w:val="20"/>
              </w:rPr>
              <w:t xml:space="preserve">review any decisions made by the retailer in relation to the UK Code. </w:t>
            </w:r>
          </w:p>
          <w:p w14:paraId="04EC0A6D" w14:textId="7312D0DC" w:rsidR="00165236" w:rsidRDefault="000D0B3F" w:rsidP="00FB2DC7">
            <w:pPr>
              <w:spacing w:after="120"/>
              <w:rPr>
                <w:sz w:val="20"/>
                <w:szCs w:val="20"/>
              </w:rPr>
            </w:pPr>
            <w:r w:rsidRPr="001F50FE">
              <w:rPr>
                <w:sz w:val="20"/>
                <w:szCs w:val="20"/>
              </w:rPr>
              <w:t>A dispute arises when a supplier informs the Code Compliance Officer that they believe the retailer has not fulfilled its obligations under the Code</w:t>
            </w:r>
            <w:r w:rsidR="00871F8B">
              <w:rPr>
                <w:sz w:val="20"/>
                <w:szCs w:val="20"/>
              </w:rPr>
              <w:t>.</w:t>
            </w:r>
          </w:p>
          <w:p w14:paraId="4B3BC447" w14:textId="0FD8C0DB" w:rsidR="00FB2DC7" w:rsidRDefault="00165236" w:rsidP="00FB2DC7">
            <w:pPr>
              <w:spacing w:after="120"/>
              <w:rPr>
                <w:sz w:val="20"/>
                <w:szCs w:val="20"/>
              </w:rPr>
            </w:pPr>
            <w:r>
              <w:rPr>
                <w:sz w:val="20"/>
                <w:szCs w:val="20"/>
              </w:rPr>
              <w:lastRenderedPageBreak/>
              <w:t>The Code Compliance Officer and supplier have 21 days to resolve the dispute to the satisfaction of the supplier. If a dispute is not resolved, a supplier may request arbitration.</w:t>
            </w:r>
            <w:r w:rsidR="00931E44">
              <w:rPr>
                <w:sz w:val="20"/>
                <w:szCs w:val="20"/>
              </w:rPr>
              <w:t xml:space="preserve"> A </w:t>
            </w:r>
            <w:r>
              <w:rPr>
                <w:sz w:val="20"/>
                <w:szCs w:val="20"/>
              </w:rPr>
              <w:t>request for arbitration must be submitted within 4 months of the dispute arising.</w:t>
            </w:r>
          </w:p>
          <w:p w14:paraId="6E0E6D36" w14:textId="66355D5B" w:rsidR="00035208" w:rsidRPr="001F50FE" w:rsidRDefault="00EF355C" w:rsidP="00FB2DC7">
            <w:pPr>
              <w:spacing w:after="120"/>
              <w:rPr>
                <w:sz w:val="20"/>
                <w:szCs w:val="20"/>
              </w:rPr>
            </w:pPr>
            <w:r w:rsidRPr="001F50FE">
              <w:rPr>
                <w:sz w:val="20"/>
                <w:szCs w:val="20"/>
              </w:rPr>
              <w:t xml:space="preserve">Arbitration will be administered by the GCA. The decision </w:t>
            </w:r>
            <w:r w:rsidR="00212B3B">
              <w:rPr>
                <w:sz w:val="20"/>
                <w:szCs w:val="20"/>
              </w:rPr>
              <w:t xml:space="preserve">is </w:t>
            </w:r>
            <w:r w:rsidRPr="001F50FE">
              <w:rPr>
                <w:sz w:val="20"/>
                <w:szCs w:val="20"/>
              </w:rPr>
              <w:t xml:space="preserve">binding and final, </w:t>
            </w:r>
            <w:r w:rsidR="00895759">
              <w:rPr>
                <w:sz w:val="20"/>
                <w:szCs w:val="20"/>
              </w:rPr>
              <w:t>but</w:t>
            </w:r>
            <w:r w:rsidRPr="001F50FE">
              <w:rPr>
                <w:sz w:val="20"/>
                <w:szCs w:val="20"/>
              </w:rPr>
              <w:t xml:space="preserve"> either party may appeal on grounds in the Arbitration Act 1996. </w:t>
            </w:r>
          </w:p>
        </w:tc>
      </w:tr>
    </w:tbl>
    <w:p w14:paraId="2961AE95" w14:textId="5F6CC209" w:rsidR="00E21D8A" w:rsidRPr="004E3667" w:rsidRDefault="00E21D8A" w:rsidP="004E3667">
      <w:pPr>
        <w:pStyle w:val="Numbered"/>
        <w:numPr>
          <w:ilvl w:val="0"/>
          <w:numId w:val="0"/>
        </w:numPr>
        <w:rPr>
          <w:b/>
          <w:bCs/>
        </w:rPr>
      </w:pPr>
      <w:r w:rsidRPr="004E3667">
        <w:rPr>
          <w:b/>
          <w:bCs/>
        </w:rPr>
        <w:lastRenderedPageBreak/>
        <w:t>Australia</w:t>
      </w:r>
    </w:p>
    <w:p w14:paraId="470A3EE9" w14:textId="09ECC1D3" w:rsidR="00EA5B86" w:rsidRDefault="00EA5B86" w:rsidP="003B06C7">
      <w:pPr>
        <w:pStyle w:val="Numbered"/>
      </w:pPr>
      <w:r>
        <w:t>The dispute resolution process in the Australian Code was amended in 2020 following a review</w:t>
      </w:r>
      <w:r w:rsidR="00DE0FD9">
        <w:t xml:space="preserve">. </w:t>
      </w:r>
      <w:r w:rsidR="00000324">
        <w:t>It</w:t>
      </w:r>
      <w:r w:rsidR="003B06C7">
        <w:t xml:space="preserve"> </w:t>
      </w:r>
      <w:r w:rsidR="00000324">
        <w:t xml:space="preserve">now </w:t>
      </w:r>
      <w:r w:rsidR="00871F8B">
        <w:t xml:space="preserve">provides a </w:t>
      </w:r>
      <w:r w:rsidR="003B06C7">
        <w:t xml:space="preserve">determinative process </w:t>
      </w:r>
      <w:r w:rsidR="00871F8B">
        <w:t xml:space="preserve">using </w:t>
      </w:r>
      <w:r w:rsidR="003B06C7">
        <w:t>the retailer’s Code Arbiter</w:t>
      </w:r>
      <w:r w:rsidR="00871F8B">
        <w:t xml:space="preserve"> and </w:t>
      </w:r>
      <w:r w:rsidR="00AD1390">
        <w:t>does not have any self-resolution</w:t>
      </w:r>
      <w:r w:rsidR="00000324">
        <w:t xml:space="preserve"> requirements</w:t>
      </w:r>
      <w:r w:rsidR="004D27C3">
        <w:t>.</w:t>
      </w:r>
      <w:r w:rsidR="00880459">
        <w:rPr>
          <w:rStyle w:val="FootnoteReference"/>
        </w:rPr>
        <w:footnoteReference w:id="44"/>
      </w:r>
      <w:r w:rsidR="004D27C3">
        <w:t xml:space="preserve"> </w:t>
      </w:r>
    </w:p>
    <w:tbl>
      <w:tblPr>
        <w:tblStyle w:val="TableGrid"/>
        <w:tblW w:w="9072" w:type="dxa"/>
        <w:tblInd w:w="134"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Look w:val="04A0" w:firstRow="1" w:lastRow="0" w:firstColumn="1" w:lastColumn="0" w:noHBand="0" w:noVBand="1"/>
      </w:tblPr>
      <w:tblGrid>
        <w:gridCol w:w="1559"/>
        <w:gridCol w:w="7513"/>
      </w:tblGrid>
      <w:tr w:rsidR="00C84974" w14:paraId="1A7BBFD5" w14:textId="77777777" w:rsidTr="00A63E68">
        <w:tc>
          <w:tcPr>
            <w:tcW w:w="1559" w:type="dxa"/>
            <w:shd w:val="clear" w:color="auto" w:fill="D9D9D9" w:themeFill="background1" w:themeFillShade="D9"/>
          </w:tcPr>
          <w:p w14:paraId="673F6537" w14:textId="7EF10323" w:rsidR="00C84974" w:rsidRDefault="00C84974" w:rsidP="00FB2DC7">
            <w:pPr>
              <w:pStyle w:val="Numbered"/>
              <w:numPr>
                <w:ilvl w:val="0"/>
                <w:numId w:val="0"/>
              </w:numPr>
              <w:spacing w:before="0"/>
            </w:pPr>
            <w:r w:rsidRPr="000D0B3F">
              <w:rPr>
                <w:b/>
                <w:bCs/>
              </w:rPr>
              <w:t xml:space="preserve">Functions relating to dispute resolution </w:t>
            </w:r>
          </w:p>
        </w:tc>
        <w:tc>
          <w:tcPr>
            <w:tcW w:w="7513" w:type="dxa"/>
            <w:tcBorders>
              <w:bottom w:val="single" w:sz="6" w:space="0" w:color="A6A6A6" w:themeColor="background1" w:themeShade="A6"/>
            </w:tcBorders>
            <w:shd w:val="clear" w:color="auto" w:fill="D9D9D9" w:themeFill="background1" w:themeFillShade="D9"/>
          </w:tcPr>
          <w:p w14:paraId="0DAAEAFC" w14:textId="53B525AE" w:rsidR="00CD0AF9" w:rsidRPr="001F50FE" w:rsidRDefault="00C84974" w:rsidP="00FB2DC7">
            <w:pPr>
              <w:spacing w:after="120"/>
              <w:rPr>
                <w:rFonts w:cstheme="minorHAnsi"/>
                <w:sz w:val="20"/>
                <w:szCs w:val="20"/>
              </w:rPr>
            </w:pPr>
            <w:r w:rsidRPr="001F50FE">
              <w:rPr>
                <w:rFonts w:cstheme="minorHAnsi"/>
                <w:sz w:val="20"/>
                <w:szCs w:val="20"/>
              </w:rPr>
              <w:t xml:space="preserve">Retailers must appoint a </w:t>
            </w:r>
            <w:r w:rsidRPr="001F50FE">
              <w:rPr>
                <w:rFonts w:cstheme="minorHAnsi"/>
                <w:b/>
                <w:bCs/>
                <w:sz w:val="20"/>
                <w:szCs w:val="20"/>
              </w:rPr>
              <w:t>Code Arbiter</w:t>
            </w:r>
            <w:r w:rsidRPr="001F50FE">
              <w:rPr>
                <w:rFonts w:cstheme="minorHAnsi"/>
                <w:sz w:val="20"/>
                <w:szCs w:val="20"/>
              </w:rPr>
              <w:t xml:space="preserve"> </w:t>
            </w:r>
            <w:r w:rsidR="003B06C7">
              <w:rPr>
                <w:rFonts w:cstheme="minorHAnsi"/>
                <w:sz w:val="20"/>
                <w:szCs w:val="20"/>
              </w:rPr>
              <w:t>t</w:t>
            </w:r>
            <w:r w:rsidR="003B06C7" w:rsidRPr="003B06C7">
              <w:rPr>
                <w:rFonts w:cstheme="minorHAnsi"/>
                <w:sz w:val="20"/>
                <w:szCs w:val="20"/>
              </w:rPr>
              <w:t xml:space="preserve">o </w:t>
            </w:r>
            <w:r w:rsidRPr="003B06C7">
              <w:rPr>
                <w:rFonts w:cstheme="minorHAnsi"/>
                <w:sz w:val="20"/>
                <w:szCs w:val="20"/>
              </w:rPr>
              <w:t xml:space="preserve">deal with complaints in relation to the conduct </w:t>
            </w:r>
            <w:r w:rsidR="003B06C7">
              <w:rPr>
                <w:rFonts w:cstheme="minorHAnsi"/>
                <w:sz w:val="20"/>
                <w:szCs w:val="20"/>
              </w:rPr>
              <w:t xml:space="preserve">that </w:t>
            </w:r>
            <w:r w:rsidRPr="003B06C7">
              <w:rPr>
                <w:rFonts w:cstheme="minorHAnsi"/>
                <w:sz w:val="20"/>
                <w:szCs w:val="20"/>
              </w:rPr>
              <w:t>is regulated by the Code</w:t>
            </w:r>
            <w:r w:rsidR="003B06C7">
              <w:rPr>
                <w:rFonts w:cstheme="minorHAnsi"/>
                <w:sz w:val="20"/>
                <w:szCs w:val="20"/>
              </w:rPr>
              <w:t xml:space="preserve">, and to </w:t>
            </w:r>
            <w:r w:rsidR="00CD0AF9" w:rsidRPr="007B7252">
              <w:rPr>
                <w:rFonts w:cstheme="minorHAnsi"/>
                <w:sz w:val="20"/>
                <w:szCs w:val="20"/>
              </w:rPr>
              <w:t>enter into agreements to settle a disput</w:t>
            </w:r>
            <w:r w:rsidR="00CD0AF9">
              <w:rPr>
                <w:rFonts w:cstheme="minorHAnsi"/>
                <w:sz w:val="20"/>
                <w:szCs w:val="20"/>
              </w:rPr>
              <w:t>e</w:t>
            </w:r>
            <w:r w:rsidR="003B06C7">
              <w:rPr>
                <w:rFonts w:cstheme="minorHAnsi"/>
                <w:sz w:val="20"/>
                <w:szCs w:val="20"/>
              </w:rPr>
              <w:t>.</w:t>
            </w:r>
          </w:p>
          <w:p w14:paraId="4E357985" w14:textId="5622156C" w:rsidR="001F50FE" w:rsidRDefault="00A63E68" w:rsidP="00FB2DC7">
            <w:pPr>
              <w:spacing w:after="120"/>
              <w:rPr>
                <w:rFonts w:cstheme="minorHAnsi"/>
                <w:sz w:val="20"/>
                <w:szCs w:val="20"/>
              </w:rPr>
            </w:pPr>
            <w:r>
              <w:rPr>
                <w:rFonts w:cstheme="minorHAnsi"/>
                <w:sz w:val="20"/>
                <w:szCs w:val="20"/>
              </w:rPr>
              <w:t>T</w:t>
            </w:r>
            <w:r w:rsidR="007B7252">
              <w:rPr>
                <w:rFonts w:cstheme="minorHAnsi"/>
                <w:sz w:val="20"/>
                <w:szCs w:val="20"/>
              </w:rPr>
              <w:t>he Code Arbiter</w:t>
            </w:r>
            <w:r>
              <w:rPr>
                <w:rFonts w:cstheme="minorHAnsi"/>
                <w:sz w:val="20"/>
                <w:szCs w:val="20"/>
              </w:rPr>
              <w:t xml:space="preserve"> has costs paid by the retailer and has access to the necessary documents, but is not to be </w:t>
            </w:r>
            <w:r w:rsidR="001F50FE" w:rsidRPr="00A63E68">
              <w:rPr>
                <w:rFonts w:cstheme="minorHAnsi"/>
                <w:sz w:val="20"/>
                <w:szCs w:val="20"/>
              </w:rPr>
              <w:t>unduly influence</w:t>
            </w:r>
            <w:r>
              <w:rPr>
                <w:rFonts w:cstheme="minorHAnsi"/>
                <w:sz w:val="20"/>
                <w:szCs w:val="20"/>
              </w:rPr>
              <w:t>d</w:t>
            </w:r>
            <w:r w:rsidR="001F50FE" w:rsidRPr="00A63E68">
              <w:rPr>
                <w:rFonts w:cstheme="minorHAnsi"/>
                <w:sz w:val="20"/>
                <w:szCs w:val="20"/>
              </w:rPr>
              <w:t xml:space="preserve"> </w:t>
            </w:r>
            <w:r>
              <w:rPr>
                <w:rFonts w:cstheme="minorHAnsi"/>
                <w:sz w:val="20"/>
                <w:szCs w:val="20"/>
              </w:rPr>
              <w:t>by the retailer</w:t>
            </w:r>
            <w:r w:rsidR="001F50FE" w:rsidRPr="00A63E68">
              <w:rPr>
                <w:rFonts w:cstheme="minorHAnsi"/>
                <w:sz w:val="20"/>
                <w:szCs w:val="20"/>
              </w:rPr>
              <w:t>.</w:t>
            </w:r>
            <w:r w:rsidR="001F50FE" w:rsidRPr="007B7252">
              <w:rPr>
                <w:rFonts w:cstheme="minorHAnsi"/>
                <w:sz w:val="20"/>
                <w:szCs w:val="20"/>
              </w:rPr>
              <w:t xml:space="preserve"> </w:t>
            </w:r>
          </w:p>
          <w:p w14:paraId="13E6DB67" w14:textId="6B32B5A9" w:rsidR="00C84974" w:rsidRPr="00B148A3" w:rsidRDefault="007B7252" w:rsidP="00000324">
            <w:pPr>
              <w:rPr>
                <w:rFonts w:cstheme="minorHAnsi"/>
                <w:sz w:val="20"/>
                <w:szCs w:val="20"/>
              </w:rPr>
            </w:pPr>
            <w:r>
              <w:rPr>
                <w:rFonts w:cstheme="minorHAnsi"/>
                <w:sz w:val="20"/>
                <w:szCs w:val="20"/>
              </w:rPr>
              <w:t>T</w:t>
            </w:r>
            <w:r w:rsidR="00C84974" w:rsidRPr="001F50FE">
              <w:rPr>
                <w:rFonts w:cstheme="minorHAnsi"/>
                <w:sz w:val="20"/>
                <w:szCs w:val="20"/>
              </w:rPr>
              <w:t xml:space="preserve">he Minister </w:t>
            </w:r>
            <w:r>
              <w:rPr>
                <w:rFonts w:cstheme="minorHAnsi"/>
                <w:sz w:val="20"/>
                <w:szCs w:val="20"/>
              </w:rPr>
              <w:t xml:space="preserve">may </w:t>
            </w:r>
            <w:r w:rsidR="00C84974" w:rsidRPr="001F50FE">
              <w:rPr>
                <w:rFonts w:cstheme="minorHAnsi"/>
                <w:sz w:val="20"/>
                <w:szCs w:val="20"/>
              </w:rPr>
              <w:t xml:space="preserve">appoint an </w:t>
            </w:r>
            <w:r w:rsidR="00C84974" w:rsidRPr="001F50FE">
              <w:rPr>
                <w:rFonts w:cstheme="minorHAnsi"/>
                <w:b/>
                <w:bCs/>
                <w:sz w:val="20"/>
                <w:szCs w:val="20"/>
              </w:rPr>
              <w:t>Independent</w:t>
            </w:r>
            <w:r w:rsidR="00C84974" w:rsidRPr="001F50FE">
              <w:rPr>
                <w:rFonts w:cstheme="minorHAnsi"/>
                <w:sz w:val="20"/>
                <w:szCs w:val="20"/>
              </w:rPr>
              <w:t xml:space="preserve"> </w:t>
            </w:r>
            <w:r w:rsidR="00C84974" w:rsidRPr="001F50FE">
              <w:rPr>
                <w:rFonts w:cstheme="minorHAnsi"/>
                <w:b/>
                <w:bCs/>
                <w:sz w:val="20"/>
                <w:szCs w:val="20"/>
              </w:rPr>
              <w:t>Reviewer</w:t>
            </w:r>
            <w:r w:rsidR="00C84974" w:rsidRPr="001F50FE">
              <w:rPr>
                <w:rFonts w:cstheme="minorHAnsi"/>
                <w:sz w:val="20"/>
                <w:szCs w:val="20"/>
              </w:rPr>
              <w:t>, to</w:t>
            </w:r>
            <w:r w:rsidR="00A63E68">
              <w:rPr>
                <w:rFonts w:cstheme="minorHAnsi"/>
                <w:sz w:val="20"/>
                <w:szCs w:val="20"/>
              </w:rPr>
              <w:t xml:space="preserve"> </w:t>
            </w:r>
            <w:r w:rsidR="00C84974" w:rsidRPr="00A63E68">
              <w:rPr>
                <w:rFonts w:cstheme="minorHAnsi"/>
                <w:sz w:val="20"/>
                <w:szCs w:val="20"/>
              </w:rPr>
              <w:t>consider requests to review Code Arbiters’ processes in dealing with complaints</w:t>
            </w:r>
            <w:r w:rsidR="00A63E68">
              <w:rPr>
                <w:rFonts w:cstheme="minorHAnsi"/>
                <w:sz w:val="20"/>
                <w:szCs w:val="20"/>
              </w:rPr>
              <w:t xml:space="preserve"> and </w:t>
            </w:r>
            <w:r w:rsidR="00C84974" w:rsidRPr="00A63E68">
              <w:rPr>
                <w:rFonts w:cstheme="minorHAnsi"/>
                <w:sz w:val="20"/>
                <w:szCs w:val="20"/>
              </w:rPr>
              <w:t>publish non</w:t>
            </w:r>
            <w:r w:rsidR="00C84974" w:rsidRPr="00A63E68">
              <w:rPr>
                <w:rFonts w:ascii="Cambria Math" w:hAnsi="Cambria Math" w:cs="Cambria Math"/>
                <w:sz w:val="20"/>
                <w:szCs w:val="20"/>
              </w:rPr>
              <w:t>‑</w:t>
            </w:r>
            <w:r w:rsidR="00C84974" w:rsidRPr="00A63E68">
              <w:rPr>
                <w:rFonts w:cstheme="minorHAnsi"/>
                <w:sz w:val="20"/>
                <w:szCs w:val="20"/>
              </w:rPr>
              <w:t>binding guidance</w:t>
            </w:r>
            <w:r w:rsidR="00822041" w:rsidRPr="00A63E68">
              <w:rPr>
                <w:rFonts w:cstheme="minorHAnsi"/>
                <w:sz w:val="20"/>
                <w:szCs w:val="20"/>
              </w:rPr>
              <w:t>.</w:t>
            </w:r>
          </w:p>
        </w:tc>
      </w:tr>
      <w:tr w:rsidR="003E3290" w14:paraId="7BE02849" w14:textId="77777777" w:rsidTr="00931E44">
        <w:trPr>
          <w:trHeight w:val="2219"/>
        </w:trPr>
        <w:tc>
          <w:tcPr>
            <w:tcW w:w="1559" w:type="dxa"/>
            <w:shd w:val="clear" w:color="auto" w:fill="D9D9D9" w:themeFill="background1" w:themeFillShade="D9"/>
          </w:tcPr>
          <w:p w14:paraId="4E433EB1" w14:textId="7F125311" w:rsidR="003E3290" w:rsidRDefault="003E3290" w:rsidP="00FB2DC7">
            <w:pPr>
              <w:pStyle w:val="Numbered"/>
              <w:numPr>
                <w:ilvl w:val="0"/>
                <w:numId w:val="0"/>
              </w:numPr>
              <w:spacing w:before="0"/>
            </w:pPr>
            <w:r w:rsidRPr="000D0B3F">
              <w:rPr>
                <w:b/>
                <w:bCs/>
              </w:rPr>
              <w:t>Dispute resolution processes</w:t>
            </w:r>
          </w:p>
        </w:tc>
        <w:tc>
          <w:tcPr>
            <w:tcW w:w="7513" w:type="dxa"/>
            <w:shd w:val="clear" w:color="auto" w:fill="D9D9D9" w:themeFill="background1" w:themeFillShade="D9"/>
          </w:tcPr>
          <w:p w14:paraId="54DDA090" w14:textId="30E8816F" w:rsidR="003E3290" w:rsidRDefault="003E3290" w:rsidP="00FB2DC7">
            <w:pPr>
              <w:spacing w:after="120"/>
              <w:rPr>
                <w:sz w:val="20"/>
                <w:szCs w:val="20"/>
              </w:rPr>
            </w:pPr>
            <w:r>
              <w:rPr>
                <w:sz w:val="20"/>
                <w:szCs w:val="20"/>
              </w:rPr>
              <w:t xml:space="preserve">A supplier may make a complaint </w:t>
            </w:r>
            <w:r w:rsidRPr="001F50FE">
              <w:rPr>
                <w:sz w:val="20"/>
                <w:szCs w:val="20"/>
              </w:rPr>
              <w:t xml:space="preserve">in relation to matters covered by the Code to the </w:t>
            </w:r>
            <w:r>
              <w:rPr>
                <w:sz w:val="20"/>
                <w:szCs w:val="20"/>
              </w:rPr>
              <w:t xml:space="preserve">relevant retailer’s </w:t>
            </w:r>
            <w:r w:rsidRPr="001F50FE">
              <w:rPr>
                <w:sz w:val="20"/>
                <w:szCs w:val="20"/>
              </w:rPr>
              <w:t>Code Arbiter</w:t>
            </w:r>
            <w:r w:rsidR="00CD0AF9">
              <w:rPr>
                <w:sz w:val="20"/>
                <w:szCs w:val="20"/>
              </w:rPr>
              <w:t xml:space="preserve">. </w:t>
            </w:r>
          </w:p>
          <w:p w14:paraId="66521F5F" w14:textId="4E712C74" w:rsidR="003E3290" w:rsidRDefault="003E3290" w:rsidP="00FB2DC7">
            <w:pPr>
              <w:spacing w:after="120"/>
              <w:rPr>
                <w:sz w:val="20"/>
                <w:szCs w:val="20"/>
              </w:rPr>
            </w:pPr>
            <w:r>
              <w:rPr>
                <w:sz w:val="20"/>
                <w:szCs w:val="20"/>
              </w:rPr>
              <w:t xml:space="preserve">A Code Arbiter must determine what action should be taken by the retailer in response to the complaint. Within 5 business days of concluding the investigation, the Code Arbiter must provide the supplier with notice of their determination and reasons for the determination, including the supplier’s options for further action. </w:t>
            </w:r>
          </w:p>
          <w:p w14:paraId="3EC3E2CA" w14:textId="3FF36FED" w:rsidR="003E3290" w:rsidRPr="00D00337" w:rsidRDefault="003E3290" w:rsidP="00FB2DC7">
            <w:pPr>
              <w:rPr>
                <w:sz w:val="20"/>
                <w:szCs w:val="20"/>
              </w:rPr>
            </w:pPr>
            <w:r w:rsidRPr="001F50FE">
              <w:rPr>
                <w:sz w:val="20"/>
                <w:szCs w:val="20"/>
              </w:rPr>
              <w:t xml:space="preserve">A </w:t>
            </w:r>
            <w:r>
              <w:rPr>
                <w:sz w:val="20"/>
                <w:szCs w:val="20"/>
              </w:rPr>
              <w:t>su</w:t>
            </w:r>
            <w:r w:rsidRPr="001F50FE">
              <w:rPr>
                <w:sz w:val="20"/>
                <w:szCs w:val="20"/>
              </w:rPr>
              <w:t>pplier may request an independent review of a Code Arbiter’s process</w:t>
            </w:r>
            <w:r>
              <w:rPr>
                <w:sz w:val="20"/>
                <w:szCs w:val="20"/>
              </w:rPr>
              <w:t xml:space="preserve"> in dealing with the complaint</w:t>
            </w:r>
            <w:r w:rsidR="00931E44">
              <w:rPr>
                <w:sz w:val="20"/>
                <w:szCs w:val="20"/>
              </w:rPr>
              <w:t xml:space="preserve">. Any such review </w:t>
            </w:r>
            <w:r w:rsidR="00982EA1">
              <w:rPr>
                <w:sz w:val="20"/>
                <w:szCs w:val="20"/>
              </w:rPr>
              <w:t xml:space="preserve">may make recommendations to </w:t>
            </w:r>
            <w:r>
              <w:rPr>
                <w:sz w:val="20"/>
                <w:szCs w:val="20"/>
              </w:rPr>
              <w:t>the Code Arbiter.</w:t>
            </w:r>
          </w:p>
        </w:tc>
      </w:tr>
    </w:tbl>
    <w:p w14:paraId="515766F1" w14:textId="30CB1127" w:rsidR="005239EF" w:rsidRPr="0054746D" w:rsidRDefault="005239EF" w:rsidP="0054746D">
      <w:pPr>
        <w:pStyle w:val="Numbered"/>
        <w:numPr>
          <w:ilvl w:val="0"/>
          <w:numId w:val="0"/>
        </w:numPr>
        <w:rPr>
          <w:b/>
          <w:bCs/>
        </w:rPr>
      </w:pPr>
      <w:r w:rsidRPr="0054746D">
        <w:rPr>
          <w:b/>
          <w:bCs/>
        </w:rPr>
        <w:t>Compari</w:t>
      </w:r>
      <w:r w:rsidR="005E473D">
        <w:rPr>
          <w:b/>
          <w:bCs/>
        </w:rPr>
        <w:t>ng</w:t>
      </w:r>
      <w:r w:rsidRPr="0054746D">
        <w:rPr>
          <w:b/>
          <w:bCs/>
        </w:rPr>
        <w:t xml:space="preserve"> </w:t>
      </w:r>
      <w:r w:rsidR="005E473D">
        <w:rPr>
          <w:b/>
          <w:bCs/>
        </w:rPr>
        <w:t xml:space="preserve">the </w:t>
      </w:r>
      <w:r w:rsidRPr="0054746D">
        <w:rPr>
          <w:b/>
          <w:bCs/>
        </w:rPr>
        <w:t>United Kingdom and Australia</w:t>
      </w:r>
    </w:p>
    <w:p w14:paraId="74D83D34" w14:textId="6AC10FA0" w:rsidR="002230C5" w:rsidRPr="004349C3" w:rsidRDefault="003F538C" w:rsidP="00A91B99">
      <w:pPr>
        <w:pStyle w:val="Numbered"/>
      </w:pPr>
      <w:r>
        <w:t>The following table analyses the UK and Australian dispute resolution processes against some key attributes of a dispute resolution process</w:t>
      </w:r>
      <w:r w:rsidR="00D00337">
        <w:t xml:space="preserve">. </w:t>
      </w:r>
    </w:p>
    <w:tbl>
      <w:tblPr>
        <w:tblStyle w:val="TableGrid"/>
        <w:tblW w:w="9356" w:type="dxa"/>
        <w:tblInd w:w="14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CellMar>
          <w:top w:w="28" w:type="dxa"/>
          <w:bottom w:w="28" w:type="dxa"/>
        </w:tblCellMar>
        <w:tblLook w:val="04A0" w:firstRow="1" w:lastRow="0" w:firstColumn="1" w:lastColumn="0" w:noHBand="0" w:noVBand="1"/>
      </w:tblPr>
      <w:tblGrid>
        <w:gridCol w:w="1534"/>
        <w:gridCol w:w="3968"/>
        <w:gridCol w:w="3854"/>
      </w:tblGrid>
      <w:tr w:rsidR="00D00337" w:rsidRPr="00396104" w14:paraId="673D29B9" w14:textId="77777777" w:rsidTr="00781B33">
        <w:trPr>
          <w:trHeight w:val="35"/>
          <w:tblHeader/>
        </w:trPr>
        <w:tc>
          <w:tcPr>
            <w:tcW w:w="966" w:type="dxa"/>
            <w:tcBorders>
              <w:top w:val="nil"/>
              <w:left w:val="nil"/>
            </w:tcBorders>
            <w:shd w:val="clear" w:color="auto" w:fill="auto"/>
          </w:tcPr>
          <w:p w14:paraId="1939E3E5" w14:textId="77777777" w:rsidR="00D00337" w:rsidRPr="00396104" w:rsidRDefault="00D00337" w:rsidP="009C617A">
            <w:pPr>
              <w:pStyle w:val="Numbered"/>
              <w:numPr>
                <w:ilvl w:val="0"/>
                <w:numId w:val="0"/>
              </w:numPr>
              <w:spacing w:before="0"/>
            </w:pPr>
            <w:bookmarkStart w:id="216" w:name="_Hlk101857551"/>
          </w:p>
        </w:tc>
        <w:tc>
          <w:tcPr>
            <w:tcW w:w="4279" w:type="dxa"/>
            <w:shd w:val="clear" w:color="auto" w:fill="D9D9D9" w:themeFill="background1" w:themeFillShade="D9"/>
          </w:tcPr>
          <w:p w14:paraId="5CE88FD2" w14:textId="77777777" w:rsidR="00D00337" w:rsidRPr="00396104" w:rsidRDefault="00D00337" w:rsidP="00AC2B50">
            <w:pPr>
              <w:pStyle w:val="Numbered"/>
              <w:numPr>
                <w:ilvl w:val="0"/>
                <w:numId w:val="0"/>
              </w:numPr>
              <w:spacing w:before="0"/>
              <w:jc w:val="center"/>
              <w:rPr>
                <w:rFonts w:cstheme="minorHAnsi"/>
                <w:b/>
                <w:bCs/>
              </w:rPr>
            </w:pPr>
            <w:r w:rsidRPr="00396104">
              <w:rPr>
                <w:rFonts w:cstheme="minorHAnsi"/>
                <w:b/>
                <w:bCs/>
              </w:rPr>
              <w:t>United Kingdom</w:t>
            </w:r>
          </w:p>
        </w:tc>
        <w:tc>
          <w:tcPr>
            <w:tcW w:w="4111" w:type="dxa"/>
            <w:shd w:val="clear" w:color="auto" w:fill="D9D9D9" w:themeFill="background1" w:themeFillShade="D9"/>
          </w:tcPr>
          <w:p w14:paraId="60E25E01" w14:textId="77777777" w:rsidR="00D00337" w:rsidRPr="00396104" w:rsidRDefault="00D00337" w:rsidP="00AC2B50">
            <w:pPr>
              <w:pStyle w:val="Numbered"/>
              <w:numPr>
                <w:ilvl w:val="0"/>
                <w:numId w:val="0"/>
              </w:numPr>
              <w:spacing w:before="0"/>
              <w:jc w:val="center"/>
              <w:rPr>
                <w:rFonts w:cstheme="minorHAnsi"/>
                <w:b/>
                <w:bCs/>
              </w:rPr>
            </w:pPr>
            <w:r w:rsidRPr="00396104">
              <w:rPr>
                <w:rFonts w:cstheme="minorHAnsi"/>
                <w:b/>
                <w:bCs/>
              </w:rPr>
              <w:t>Australia</w:t>
            </w:r>
          </w:p>
        </w:tc>
      </w:tr>
      <w:tr w:rsidR="00D00337" w14:paraId="4005A56D" w14:textId="77777777" w:rsidTr="00781B33">
        <w:tc>
          <w:tcPr>
            <w:tcW w:w="966" w:type="dxa"/>
            <w:shd w:val="clear" w:color="auto" w:fill="D9D9D9" w:themeFill="background1" w:themeFillShade="D9"/>
          </w:tcPr>
          <w:p w14:paraId="51A94AA8" w14:textId="77777777" w:rsidR="00D00337" w:rsidRPr="00D17979" w:rsidRDefault="00D00337" w:rsidP="009C617A">
            <w:pPr>
              <w:pStyle w:val="Numbered"/>
              <w:numPr>
                <w:ilvl w:val="0"/>
                <w:numId w:val="0"/>
              </w:numPr>
              <w:spacing w:before="0"/>
              <w:rPr>
                <w:b/>
                <w:bCs/>
              </w:rPr>
            </w:pPr>
            <w:r>
              <w:rPr>
                <w:b/>
                <w:bCs/>
              </w:rPr>
              <w:t>Process</w:t>
            </w:r>
          </w:p>
          <w:p w14:paraId="66A1FAED" w14:textId="0B814F22" w:rsidR="00D00337" w:rsidRPr="00181F7F" w:rsidRDefault="00D00337" w:rsidP="009C617A">
            <w:pPr>
              <w:pStyle w:val="Numbered"/>
              <w:numPr>
                <w:ilvl w:val="0"/>
                <w:numId w:val="0"/>
              </w:numPr>
              <w:spacing w:before="0"/>
              <w:rPr>
                <w:i/>
                <w:iCs/>
              </w:rPr>
            </w:pPr>
            <w:r>
              <w:rPr>
                <w:i/>
                <w:iCs/>
              </w:rPr>
              <w:t>(</w:t>
            </w:r>
            <w:r w:rsidR="003B06C7">
              <w:rPr>
                <w:i/>
                <w:iCs/>
              </w:rPr>
              <w:t>self-resolution</w:t>
            </w:r>
            <w:r>
              <w:rPr>
                <w:i/>
                <w:iCs/>
              </w:rPr>
              <w:t xml:space="preserve"> or determinative)</w:t>
            </w:r>
          </w:p>
        </w:tc>
        <w:tc>
          <w:tcPr>
            <w:tcW w:w="4279" w:type="dxa"/>
            <w:shd w:val="clear" w:color="auto" w:fill="D9D9D9" w:themeFill="background1" w:themeFillShade="D9"/>
          </w:tcPr>
          <w:p w14:paraId="6F244583" w14:textId="4F2B530F" w:rsidR="00D00337" w:rsidRPr="00396104" w:rsidRDefault="003B06C7" w:rsidP="009C617A">
            <w:pPr>
              <w:pStyle w:val="Numbered"/>
              <w:numPr>
                <w:ilvl w:val="0"/>
                <w:numId w:val="0"/>
              </w:numPr>
              <w:spacing w:before="0" w:after="120"/>
              <w:rPr>
                <w:rFonts w:cstheme="minorHAnsi"/>
                <w:sz w:val="20"/>
                <w:szCs w:val="20"/>
              </w:rPr>
            </w:pPr>
            <w:r>
              <w:rPr>
                <w:rFonts w:cstheme="minorHAnsi"/>
                <w:sz w:val="20"/>
                <w:szCs w:val="20"/>
              </w:rPr>
              <w:t>Self-resolution</w:t>
            </w:r>
            <w:r w:rsidR="00D00337" w:rsidRPr="00396104">
              <w:rPr>
                <w:rFonts w:cstheme="minorHAnsi"/>
                <w:sz w:val="20"/>
                <w:szCs w:val="20"/>
              </w:rPr>
              <w:t xml:space="preserve"> processes (negotiation between </w:t>
            </w:r>
            <w:r w:rsidR="005E3CE8">
              <w:rPr>
                <w:rFonts w:cstheme="minorHAnsi"/>
                <w:sz w:val="20"/>
                <w:szCs w:val="20"/>
              </w:rPr>
              <w:t>s</w:t>
            </w:r>
            <w:r w:rsidR="00D00337" w:rsidRPr="00396104">
              <w:rPr>
                <w:rFonts w:cstheme="minorHAnsi"/>
                <w:sz w:val="20"/>
                <w:szCs w:val="20"/>
              </w:rPr>
              <w:t>upplier and Code Compliance Officer) followed by a determinative process (arbitration by the GCA) if negotiation is unsuccessful.</w:t>
            </w:r>
          </w:p>
        </w:tc>
        <w:tc>
          <w:tcPr>
            <w:tcW w:w="4111" w:type="dxa"/>
            <w:shd w:val="clear" w:color="auto" w:fill="D9D9D9" w:themeFill="background1" w:themeFillShade="D9"/>
          </w:tcPr>
          <w:p w14:paraId="53E980F9" w14:textId="7D970C4D" w:rsidR="00D00337" w:rsidRPr="00396104" w:rsidRDefault="00D00337" w:rsidP="009C617A">
            <w:pPr>
              <w:pStyle w:val="Numbered"/>
              <w:numPr>
                <w:ilvl w:val="0"/>
                <w:numId w:val="0"/>
              </w:numPr>
              <w:spacing w:before="0" w:after="120"/>
              <w:rPr>
                <w:rFonts w:cstheme="minorHAnsi"/>
                <w:sz w:val="20"/>
                <w:szCs w:val="20"/>
              </w:rPr>
            </w:pPr>
            <w:r w:rsidRPr="00396104">
              <w:rPr>
                <w:rFonts w:cstheme="minorHAnsi"/>
                <w:sz w:val="20"/>
                <w:szCs w:val="20"/>
              </w:rPr>
              <w:t>The Code Arbiter is a determinative process.</w:t>
            </w:r>
          </w:p>
        </w:tc>
      </w:tr>
      <w:tr w:rsidR="00D00337" w14:paraId="1CF9B1A4" w14:textId="77777777" w:rsidTr="00781B33">
        <w:tc>
          <w:tcPr>
            <w:tcW w:w="966" w:type="dxa"/>
            <w:shd w:val="clear" w:color="auto" w:fill="D9D9D9" w:themeFill="background1" w:themeFillShade="D9"/>
          </w:tcPr>
          <w:p w14:paraId="53D47BA7" w14:textId="795DDCE8" w:rsidR="00D00337" w:rsidRPr="00181F7F" w:rsidRDefault="00D00337" w:rsidP="009C617A">
            <w:pPr>
              <w:pStyle w:val="Numbered"/>
              <w:numPr>
                <w:ilvl w:val="0"/>
                <w:numId w:val="0"/>
              </w:numPr>
              <w:spacing w:before="0"/>
              <w:rPr>
                <w:i/>
                <w:iCs/>
              </w:rPr>
            </w:pPr>
            <w:r>
              <w:rPr>
                <w:b/>
                <w:bCs/>
              </w:rPr>
              <w:t>Is there a tiered process?</w:t>
            </w:r>
          </w:p>
        </w:tc>
        <w:tc>
          <w:tcPr>
            <w:tcW w:w="4279" w:type="dxa"/>
            <w:shd w:val="clear" w:color="auto" w:fill="D9D9D9" w:themeFill="background1" w:themeFillShade="D9"/>
          </w:tcPr>
          <w:p w14:paraId="199891E8" w14:textId="3A28BE25" w:rsidR="00D00337" w:rsidRPr="00396104" w:rsidRDefault="00D00337" w:rsidP="005E3CE8">
            <w:pPr>
              <w:pStyle w:val="Numbered"/>
              <w:numPr>
                <w:ilvl w:val="0"/>
                <w:numId w:val="0"/>
              </w:numPr>
              <w:spacing w:before="0" w:after="120"/>
              <w:rPr>
                <w:rFonts w:cstheme="minorHAnsi"/>
                <w:sz w:val="20"/>
                <w:szCs w:val="20"/>
              </w:rPr>
            </w:pPr>
            <w:r>
              <w:rPr>
                <w:rFonts w:cstheme="minorHAnsi"/>
                <w:sz w:val="20"/>
                <w:szCs w:val="20"/>
              </w:rPr>
              <w:t>Yes</w:t>
            </w:r>
            <w:r w:rsidR="005E3CE8">
              <w:rPr>
                <w:rFonts w:cstheme="minorHAnsi"/>
                <w:sz w:val="20"/>
                <w:szCs w:val="20"/>
              </w:rPr>
              <w:t>, a</w:t>
            </w:r>
            <w:r>
              <w:rPr>
                <w:rFonts w:cstheme="minorHAnsi"/>
                <w:sz w:val="20"/>
                <w:szCs w:val="20"/>
              </w:rPr>
              <w:t xml:space="preserve">rbitration by the GCA is provided as a solution if </w:t>
            </w:r>
            <w:r w:rsidRPr="00396104">
              <w:rPr>
                <w:rFonts w:cstheme="minorHAnsi"/>
                <w:sz w:val="20"/>
                <w:szCs w:val="20"/>
              </w:rPr>
              <w:t xml:space="preserve">negotiation </w:t>
            </w:r>
            <w:r>
              <w:rPr>
                <w:rFonts w:cstheme="minorHAnsi"/>
                <w:sz w:val="20"/>
                <w:szCs w:val="20"/>
              </w:rPr>
              <w:t>is not successful</w:t>
            </w:r>
            <w:r w:rsidR="00E82F00">
              <w:rPr>
                <w:rFonts w:cstheme="minorHAnsi"/>
                <w:sz w:val="20"/>
                <w:szCs w:val="20"/>
              </w:rPr>
              <w:t>.</w:t>
            </w:r>
          </w:p>
        </w:tc>
        <w:tc>
          <w:tcPr>
            <w:tcW w:w="4111" w:type="dxa"/>
            <w:shd w:val="clear" w:color="auto" w:fill="D9D9D9" w:themeFill="background1" w:themeFillShade="D9"/>
          </w:tcPr>
          <w:p w14:paraId="4FF59FA1" w14:textId="669097B3" w:rsidR="00E82F00" w:rsidRPr="00396104" w:rsidRDefault="0054746D" w:rsidP="009C617A">
            <w:pPr>
              <w:pStyle w:val="Numbered"/>
              <w:numPr>
                <w:ilvl w:val="0"/>
                <w:numId w:val="0"/>
              </w:numPr>
              <w:spacing w:before="0" w:after="120"/>
              <w:rPr>
                <w:rFonts w:cstheme="minorHAnsi"/>
                <w:sz w:val="20"/>
                <w:szCs w:val="20"/>
              </w:rPr>
            </w:pPr>
            <w:r>
              <w:rPr>
                <w:rFonts w:cstheme="minorHAnsi"/>
                <w:sz w:val="20"/>
                <w:szCs w:val="20"/>
              </w:rPr>
              <w:t>No.</w:t>
            </w:r>
          </w:p>
        </w:tc>
      </w:tr>
      <w:tr w:rsidR="00D00337" w14:paraId="6E679D89" w14:textId="77777777" w:rsidTr="00781B33">
        <w:tc>
          <w:tcPr>
            <w:tcW w:w="966" w:type="dxa"/>
            <w:shd w:val="clear" w:color="auto" w:fill="D9D9D9" w:themeFill="background1" w:themeFillShade="D9"/>
          </w:tcPr>
          <w:p w14:paraId="2974B0E3" w14:textId="20F0A506" w:rsidR="00D00337" w:rsidRPr="001675FE" w:rsidRDefault="00D00337" w:rsidP="009C617A">
            <w:pPr>
              <w:pStyle w:val="Numbered"/>
              <w:numPr>
                <w:ilvl w:val="0"/>
                <w:numId w:val="0"/>
              </w:numPr>
              <w:spacing w:before="0"/>
              <w:rPr>
                <w:b/>
                <w:bCs/>
                <w:i/>
                <w:iCs/>
              </w:rPr>
            </w:pPr>
            <w:r>
              <w:rPr>
                <w:b/>
                <w:bCs/>
              </w:rPr>
              <w:t xml:space="preserve">Is there specific timing for the </w:t>
            </w:r>
            <w:r>
              <w:rPr>
                <w:b/>
                <w:bCs/>
              </w:rPr>
              <w:lastRenderedPageBreak/>
              <w:t>dispute resolution?</w:t>
            </w:r>
          </w:p>
        </w:tc>
        <w:tc>
          <w:tcPr>
            <w:tcW w:w="4279" w:type="dxa"/>
            <w:shd w:val="clear" w:color="auto" w:fill="D9D9D9" w:themeFill="background1" w:themeFillShade="D9"/>
          </w:tcPr>
          <w:p w14:paraId="7CB2AE9B" w14:textId="1E5A0D57" w:rsidR="00D00337" w:rsidRPr="00396104" w:rsidRDefault="00D00337" w:rsidP="009C617A">
            <w:pPr>
              <w:pStyle w:val="Numbered"/>
              <w:numPr>
                <w:ilvl w:val="0"/>
                <w:numId w:val="0"/>
              </w:numPr>
              <w:spacing w:before="0" w:after="120"/>
              <w:rPr>
                <w:rFonts w:cstheme="minorHAnsi"/>
                <w:sz w:val="20"/>
                <w:szCs w:val="20"/>
              </w:rPr>
            </w:pPr>
            <w:r w:rsidRPr="00396104">
              <w:rPr>
                <w:rFonts w:cstheme="minorHAnsi"/>
                <w:sz w:val="20"/>
                <w:szCs w:val="20"/>
              </w:rPr>
              <w:lastRenderedPageBreak/>
              <w:t>21 days for consensus resolution by parties (Supplier and Code Compliance Officer).</w:t>
            </w:r>
          </w:p>
          <w:p w14:paraId="7C612670" w14:textId="0047E931" w:rsidR="00D00337" w:rsidRPr="00396104" w:rsidRDefault="00D00337" w:rsidP="005E3CE8">
            <w:pPr>
              <w:pStyle w:val="Numbered"/>
              <w:numPr>
                <w:ilvl w:val="0"/>
                <w:numId w:val="0"/>
              </w:numPr>
              <w:spacing w:before="0" w:after="120"/>
              <w:rPr>
                <w:rFonts w:cstheme="minorHAnsi"/>
                <w:sz w:val="20"/>
                <w:szCs w:val="20"/>
              </w:rPr>
            </w:pPr>
            <w:r w:rsidRPr="00396104">
              <w:rPr>
                <w:rFonts w:cstheme="minorHAnsi"/>
                <w:sz w:val="20"/>
                <w:szCs w:val="20"/>
              </w:rPr>
              <w:lastRenderedPageBreak/>
              <w:t xml:space="preserve">Retailer to submit to arbitration request by supplier for unresolved disputes, to occur within </w:t>
            </w:r>
            <w:r>
              <w:rPr>
                <w:rFonts w:cstheme="minorHAnsi"/>
                <w:sz w:val="20"/>
                <w:szCs w:val="20"/>
              </w:rPr>
              <w:t>four</w:t>
            </w:r>
            <w:r w:rsidRPr="00396104">
              <w:rPr>
                <w:rFonts w:cstheme="minorHAnsi"/>
                <w:sz w:val="20"/>
                <w:szCs w:val="20"/>
              </w:rPr>
              <w:t xml:space="preserve"> months of dispute arising. </w:t>
            </w:r>
          </w:p>
        </w:tc>
        <w:tc>
          <w:tcPr>
            <w:tcW w:w="4111" w:type="dxa"/>
            <w:shd w:val="clear" w:color="auto" w:fill="D9D9D9" w:themeFill="background1" w:themeFillShade="D9"/>
          </w:tcPr>
          <w:p w14:paraId="10738430" w14:textId="77777777" w:rsidR="00D00337" w:rsidRPr="00396104" w:rsidRDefault="00D00337" w:rsidP="009C617A">
            <w:pPr>
              <w:spacing w:after="120"/>
              <w:rPr>
                <w:rFonts w:cstheme="minorHAnsi"/>
                <w:sz w:val="20"/>
                <w:szCs w:val="20"/>
              </w:rPr>
            </w:pPr>
            <w:r w:rsidRPr="00396104">
              <w:rPr>
                <w:rFonts w:cstheme="minorHAnsi"/>
                <w:sz w:val="20"/>
                <w:szCs w:val="20"/>
              </w:rPr>
              <w:lastRenderedPageBreak/>
              <w:t xml:space="preserve">Code Arbiter must investigate the complaint within 20 working days (or longer </w:t>
            </w:r>
            <w:r>
              <w:rPr>
                <w:rFonts w:cstheme="minorHAnsi"/>
                <w:sz w:val="20"/>
                <w:szCs w:val="20"/>
              </w:rPr>
              <w:t xml:space="preserve">if agreed with </w:t>
            </w:r>
            <w:r w:rsidRPr="00396104">
              <w:rPr>
                <w:rFonts w:cstheme="minorHAnsi"/>
                <w:sz w:val="20"/>
                <w:szCs w:val="20"/>
              </w:rPr>
              <w:t>the supplier).</w:t>
            </w:r>
          </w:p>
          <w:p w14:paraId="3AA2D325" w14:textId="77777777" w:rsidR="00D00337" w:rsidRPr="00396104" w:rsidRDefault="00D00337" w:rsidP="009C617A">
            <w:pPr>
              <w:spacing w:after="120"/>
              <w:rPr>
                <w:rFonts w:cstheme="minorHAnsi"/>
                <w:sz w:val="20"/>
                <w:szCs w:val="20"/>
              </w:rPr>
            </w:pPr>
            <w:r w:rsidRPr="00396104">
              <w:rPr>
                <w:rFonts w:cstheme="minorHAnsi"/>
                <w:sz w:val="20"/>
                <w:szCs w:val="20"/>
              </w:rPr>
              <w:lastRenderedPageBreak/>
              <w:t xml:space="preserve">Code Arbiter must provide decision to supplier within </w:t>
            </w:r>
            <w:r>
              <w:rPr>
                <w:rFonts w:cstheme="minorHAnsi"/>
                <w:sz w:val="20"/>
                <w:szCs w:val="20"/>
              </w:rPr>
              <w:t>five</w:t>
            </w:r>
            <w:r w:rsidRPr="00396104">
              <w:rPr>
                <w:rFonts w:cstheme="minorHAnsi"/>
                <w:sz w:val="20"/>
                <w:szCs w:val="20"/>
              </w:rPr>
              <w:t xml:space="preserve"> business days of concluding investigation. </w:t>
            </w:r>
          </w:p>
          <w:p w14:paraId="6C4D594C" w14:textId="4D2BA29B" w:rsidR="00D00337" w:rsidRPr="00396104" w:rsidRDefault="00D00337" w:rsidP="00E82F00">
            <w:pPr>
              <w:spacing w:after="120"/>
              <w:rPr>
                <w:rFonts w:cstheme="minorHAnsi"/>
                <w:sz w:val="20"/>
                <w:szCs w:val="20"/>
              </w:rPr>
            </w:pPr>
            <w:r w:rsidRPr="00396104">
              <w:rPr>
                <w:rFonts w:cstheme="minorHAnsi"/>
                <w:sz w:val="20"/>
                <w:szCs w:val="20"/>
              </w:rPr>
              <w:t xml:space="preserve">The Code Arbiter’s remedy lapses at the end of 20 </w:t>
            </w:r>
            <w:r w:rsidR="00EF371A">
              <w:rPr>
                <w:rFonts w:cstheme="minorHAnsi"/>
                <w:sz w:val="20"/>
                <w:szCs w:val="20"/>
              </w:rPr>
              <w:t xml:space="preserve">working </w:t>
            </w:r>
            <w:r w:rsidRPr="00396104">
              <w:rPr>
                <w:rFonts w:cstheme="minorHAnsi"/>
                <w:sz w:val="20"/>
                <w:szCs w:val="20"/>
              </w:rPr>
              <w:t>days, unless the supplier requests an independent review.</w:t>
            </w:r>
          </w:p>
        </w:tc>
      </w:tr>
      <w:tr w:rsidR="00D00337" w14:paraId="2BABA985" w14:textId="77777777" w:rsidTr="00781B33">
        <w:tc>
          <w:tcPr>
            <w:tcW w:w="966" w:type="dxa"/>
            <w:shd w:val="clear" w:color="auto" w:fill="D9D9D9" w:themeFill="background1" w:themeFillShade="D9"/>
          </w:tcPr>
          <w:p w14:paraId="3FCA87EE" w14:textId="4AF78AA8" w:rsidR="00D00337" w:rsidRDefault="00D00337" w:rsidP="009C617A">
            <w:pPr>
              <w:pStyle w:val="Numbered"/>
              <w:numPr>
                <w:ilvl w:val="0"/>
                <w:numId w:val="0"/>
              </w:numPr>
              <w:spacing w:before="0"/>
              <w:rPr>
                <w:b/>
                <w:bCs/>
              </w:rPr>
            </w:pPr>
            <w:r>
              <w:rPr>
                <w:b/>
                <w:bCs/>
              </w:rPr>
              <w:lastRenderedPageBreak/>
              <w:t>Who covers the costs?</w:t>
            </w:r>
          </w:p>
        </w:tc>
        <w:tc>
          <w:tcPr>
            <w:tcW w:w="4279" w:type="dxa"/>
            <w:shd w:val="clear" w:color="auto" w:fill="D9D9D9" w:themeFill="background1" w:themeFillShade="D9"/>
          </w:tcPr>
          <w:p w14:paraId="053E604B" w14:textId="239A43A0" w:rsidR="00D00337" w:rsidRPr="00396104" w:rsidRDefault="00D00337" w:rsidP="00F15269">
            <w:pPr>
              <w:pStyle w:val="Numbered"/>
              <w:numPr>
                <w:ilvl w:val="0"/>
                <w:numId w:val="0"/>
              </w:numPr>
              <w:spacing w:before="0" w:after="120"/>
              <w:rPr>
                <w:rFonts w:cstheme="minorHAnsi"/>
                <w:sz w:val="20"/>
                <w:szCs w:val="20"/>
              </w:rPr>
            </w:pPr>
            <w:r w:rsidRPr="00396104">
              <w:rPr>
                <w:rFonts w:cstheme="minorHAnsi"/>
                <w:sz w:val="20"/>
                <w:szCs w:val="20"/>
              </w:rPr>
              <w:t>All costs of the arbitration will be borne by the retailer, excep</w:t>
            </w:r>
            <w:r w:rsidR="005E3CE8">
              <w:rPr>
                <w:rFonts w:cstheme="minorHAnsi"/>
                <w:sz w:val="20"/>
                <w:szCs w:val="20"/>
              </w:rPr>
              <w:t>t</w:t>
            </w:r>
            <w:r w:rsidRPr="00396104">
              <w:rPr>
                <w:rFonts w:cstheme="minorHAnsi"/>
                <w:sz w:val="20"/>
                <w:szCs w:val="20"/>
              </w:rPr>
              <w:t xml:space="preserve"> if supplier’s claim is vexatious or wholly without merit, in which case costs will be assigned at the arbitrator’s discretion. </w:t>
            </w:r>
          </w:p>
        </w:tc>
        <w:tc>
          <w:tcPr>
            <w:tcW w:w="4111" w:type="dxa"/>
            <w:shd w:val="clear" w:color="auto" w:fill="D9D9D9" w:themeFill="background1" w:themeFillShade="D9"/>
          </w:tcPr>
          <w:p w14:paraId="4BB2F69C" w14:textId="2211FF4E" w:rsidR="00D00337" w:rsidRPr="00396104" w:rsidRDefault="00D00337" w:rsidP="009C617A">
            <w:pPr>
              <w:pStyle w:val="Numbered"/>
              <w:numPr>
                <w:ilvl w:val="0"/>
                <w:numId w:val="0"/>
              </w:numPr>
              <w:spacing w:before="0" w:after="120"/>
              <w:rPr>
                <w:rFonts w:cstheme="minorHAnsi"/>
                <w:sz w:val="20"/>
                <w:szCs w:val="20"/>
              </w:rPr>
            </w:pPr>
            <w:r w:rsidRPr="00396104">
              <w:rPr>
                <w:rFonts w:cstheme="minorHAnsi"/>
                <w:sz w:val="20"/>
                <w:szCs w:val="20"/>
              </w:rPr>
              <w:t>Costs of the Code Arbiter are to be covered by the retailer.</w:t>
            </w:r>
          </w:p>
        </w:tc>
      </w:tr>
      <w:tr w:rsidR="00D00337" w14:paraId="00E9915C" w14:textId="77777777" w:rsidTr="00781B33">
        <w:tc>
          <w:tcPr>
            <w:tcW w:w="966" w:type="dxa"/>
            <w:shd w:val="clear" w:color="auto" w:fill="D9D9D9" w:themeFill="background1" w:themeFillShade="D9"/>
          </w:tcPr>
          <w:p w14:paraId="7054E7E8" w14:textId="2EE672C8" w:rsidR="00D00337" w:rsidRPr="001675FE" w:rsidRDefault="00D00337" w:rsidP="009C617A">
            <w:pPr>
              <w:pStyle w:val="Numbered"/>
              <w:numPr>
                <w:ilvl w:val="0"/>
                <w:numId w:val="0"/>
              </w:numPr>
              <w:spacing w:before="0"/>
              <w:rPr>
                <w:i/>
                <w:iCs/>
              </w:rPr>
            </w:pPr>
            <w:r>
              <w:rPr>
                <w:b/>
                <w:bCs/>
              </w:rPr>
              <w:t>Are any complaints confidential?</w:t>
            </w:r>
          </w:p>
        </w:tc>
        <w:tc>
          <w:tcPr>
            <w:tcW w:w="4279" w:type="dxa"/>
            <w:shd w:val="clear" w:color="auto" w:fill="D9D9D9" w:themeFill="background1" w:themeFillShade="D9"/>
          </w:tcPr>
          <w:p w14:paraId="4C477F7C" w14:textId="67603F4B" w:rsidR="00D00337" w:rsidRPr="00396104" w:rsidRDefault="00D00337" w:rsidP="009C617A">
            <w:pPr>
              <w:pStyle w:val="Numbered"/>
              <w:numPr>
                <w:ilvl w:val="0"/>
                <w:numId w:val="0"/>
              </w:numPr>
              <w:spacing w:before="0" w:after="120"/>
              <w:rPr>
                <w:rFonts w:cstheme="minorHAnsi"/>
                <w:sz w:val="20"/>
                <w:szCs w:val="20"/>
              </w:rPr>
            </w:pPr>
            <w:r w:rsidRPr="00396104">
              <w:rPr>
                <w:rFonts w:cstheme="minorHAnsi"/>
                <w:sz w:val="20"/>
                <w:szCs w:val="20"/>
              </w:rPr>
              <w:t xml:space="preserve">Code Compliance Officer </w:t>
            </w:r>
            <w:r w:rsidR="00E82F00">
              <w:rPr>
                <w:rFonts w:cstheme="minorHAnsi"/>
                <w:sz w:val="20"/>
                <w:szCs w:val="20"/>
              </w:rPr>
              <w:t xml:space="preserve">is </w:t>
            </w:r>
            <w:r>
              <w:rPr>
                <w:rFonts w:cstheme="minorHAnsi"/>
                <w:sz w:val="20"/>
                <w:szCs w:val="20"/>
              </w:rPr>
              <w:t xml:space="preserve">employed by the retailer </w:t>
            </w:r>
            <w:r w:rsidR="00E82F00">
              <w:rPr>
                <w:rFonts w:cstheme="minorHAnsi"/>
                <w:sz w:val="20"/>
                <w:szCs w:val="20"/>
              </w:rPr>
              <w:t>but</w:t>
            </w:r>
            <w:r>
              <w:rPr>
                <w:rFonts w:cstheme="minorHAnsi"/>
                <w:sz w:val="20"/>
                <w:szCs w:val="20"/>
              </w:rPr>
              <w:t xml:space="preserve"> </w:t>
            </w:r>
            <w:r w:rsidR="00E82F00">
              <w:rPr>
                <w:rFonts w:cstheme="minorHAnsi"/>
                <w:sz w:val="20"/>
                <w:szCs w:val="20"/>
              </w:rPr>
              <w:t>is separate to the buying team.</w:t>
            </w:r>
          </w:p>
          <w:p w14:paraId="6DF28DEA" w14:textId="637A7895" w:rsidR="00D00337" w:rsidRPr="00396104" w:rsidRDefault="00D00337" w:rsidP="009C617A">
            <w:pPr>
              <w:pStyle w:val="Numbered"/>
              <w:numPr>
                <w:ilvl w:val="0"/>
                <w:numId w:val="0"/>
              </w:numPr>
              <w:spacing w:before="0" w:after="120"/>
              <w:rPr>
                <w:rFonts w:cstheme="minorHAnsi"/>
                <w:sz w:val="20"/>
                <w:szCs w:val="20"/>
              </w:rPr>
            </w:pPr>
            <w:r>
              <w:rPr>
                <w:rFonts w:cstheme="minorHAnsi"/>
                <w:sz w:val="20"/>
                <w:szCs w:val="20"/>
              </w:rPr>
              <w:t xml:space="preserve">The </w:t>
            </w:r>
            <w:r w:rsidRPr="00396104">
              <w:rPr>
                <w:rFonts w:cstheme="minorHAnsi"/>
                <w:sz w:val="20"/>
                <w:szCs w:val="20"/>
              </w:rPr>
              <w:t xml:space="preserve">GCA may act as a conduit for suppliers to raise issues. </w:t>
            </w:r>
            <w:r>
              <w:rPr>
                <w:rFonts w:cstheme="minorHAnsi"/>
                <w:sz w:val="20"/>
                <w:szCs w:val="20"/>
              </w:rPr>
              <w:t xml:space="preserve">If an </w:t>
            </w:r>
            <w:r w:rsidRPr="00396104">
              <w:rPr>
                <w:rFonts w:cstheme="minorHAnsi"/>
                <w:sz w:val="20"/>
                <w:szCs w:val="20"/>
              </w:rPr>
              <w:t>issue falls within the scope of the Code</w:t>
            </w:r>
            <w:r>
              <w:rPr>
                <w:rFonts w:cstheme="minorHAnsi"/>
                <w:sz w:val="20"/>
                <w:szCs w:val="20"/>
              </w:rPr>
              <w:t xml:space="preserve">, then the GCA </w:t>
            </w:r>
            <w:r w:rsidRPr="00396104">
              <w:rPr>
                <w:rFonts w:cstheme="minorHAnsi"/>
                <w:sz w:val="20"/>
                <w:szCs w:val="20"/>
              </w:rPr>
              <w:t xml:space="preserve">will refer </w:t>
            </w:r>
            <w:r>
              <w:rPr>
                <w:rFonts w:cstheme="minorHAnsi"/>
                <w:sz w:val="20"/>
                <w:szCs w:val="20"/>
              </w:rPr>
              <w:t xml:space="preserve">it </w:t>
            </w:r>
            <w:r w:rsidRPr="00396104">
              <w:rPr>
                <w:rFonts w:cstheme="minorHAnsi"/>
                <w:sz w:val="20"/>
                <w:szCs w:val="20"/>
              </w:rPr>
              <w:t>to the relevant Code Compliance Officer while keeping the supplier anonymous.</w:t>
            </w:r>
            <w:r w:rsidRPr="00396104">
              <w:rPr>
                <w:rStyle w:val="FootnoteReference"/>
                <w:rFonts w:cstheme="minorHAnsi"/>
                <w:sz w:val="20"/>
                <w:szCs w:val="20"/>
              </w:rPr>
              <w:footnoteReference w:id="45"/>
            </w:r>
          </w:p>
        </w:tc>
        <w:tc>
          <w:tcPr>
            <w:tcW w:w="4111" w:type="dxa"/>
            <w:shd w:val="clear" w:color="auto" w:fill="D9D9D9" w:themeFill="background1" w:themeFillShade="D9"/>
          </w:tcPr>
          <w:p w14:paraId="3132B229" w14:textId="59CE30E1" w:rsidR="00D00337" w:rsidRPr="00396104" w:rsidRDefault="00D00337" w:rsidP="00931E44">
            <w:pPr>
              <w:pStyle w:val="Numbered"/>
              <w:numPr>
                <w:ilvl w:val="0"/>
                <w:numId w:val="0"/>
              </w:numPr>
              <w:spacing w:before="0" w:after="120"/>
              <w:rPr>
                <w:rFonts w:cstheme="minorHAnsi"/>
                <w:sz w:val="20"/>
                <w:szCs w:val="20"/>
              </w:rPr>
            </w:pPr>
            <w:r w:rsidRPr="00396104">
              <w:rPr>
                <w:rFonts w:cstheme="minorHAnsi"/>
                <w:sz w:val="20"/>
                <w:szCs w:val="20"/>
              </w:rPr>
              <w:t>The Code Arbiter and Independent Reviewer must not disclose the identity of a supplier who has made a complaint to the retailer, except with the express consent of the supplier.</w:t>
            </w:r>
          </w:p>
        </w:tc>
      </w:tr>
      <w:tr w:rsidR="00D00337" w14:paraId="2115430B" w14:textId="77777777" w:rsidTr="00781B33">
        <w:tc>
          <w:tcPr>
            <w:tcW w:w="966" w:type="dxa"/>
            <w:shd w:val="clear" w:color="auto" w:fill="D9D9D9" w:themeFill="background1" w:themeFillShade="D9"/>
          </w:tcPr>
          <w:p w14:paraId="394FC699" w14:textId="563619DA" w:rsidR="00D00337" w:rsidRPr="00181F7F" w:rsidRDefault="00D00337" w:rsidP="009C617A">
            <w:pPr>
              <w:pStyle w:val="Numbered"/>
              <w:numPr>
                <w:ilvl w:val="0"/>
                <w:numId w:val="0"/>
              </w:numPr>
              <w:spacing w:before="0"/>
              <w:rPr>
                <w:i/>
                <w:iCs/>
              </w:rPr>
            </w:pPr>
            <w:r>
              <w:rPr>
                <w:b/>
                <w:bCs/>
              </w:rPr>
              <w:t>Are decisions binding and/or enforceable?</w:t>
            </w:r>
          </w:p>
        </w:tc>
        <w:tc>
          <w:tcPr>
            <w:tcW w:w="4279" w:type="dxa"/>
            <w:shd w:val="clear" w:color="auto" w:fill="D9D9D9" w:themeFill="background1" w:themeFillShade="D9"/>
          </w:tcPr>
          <w:p w14:paraId="4482B383" w14:textId="5E7F5905" w:rsidR="00D00337" w:rsidRPr="00396104" w:rsidRDefault="00D00337" w:rsidP="009C617A">
            <w:pPr>
              <w:pStyle w:val="Numbered"/>
              <w:numPr>
                <w:ilvl w:val="0"/>
                <w:numId w:val="0"/>
              </w:numPr>
              <w:spacing w:before="0" w:after="120"/>
              <w:rPr>
                <w:rFonts w:cstheme="minorHAnsi"/>
                <w:sz w:val="20"/>
                <w:szCs w:val="20"/>
              </w:rPr>
            </w:pPr>
            <w:r w:rsidRPr="00396104">
              <w:rPr>
                <w:rFonts w:cstheme="minorHAnsi"/>
                <w:sz w:val="20"/>
                <w:szCs w:val="20"/>
              </w:rPr>
              <w:t xml:space="preserve">Any </w:t>
            </w:r>
            <w:r>
              <w:rPr>
                <w:rFonts w:cstheme="minorHAnsi"/>
                <w:sz w:val="20"/>
                <w:szCs w:val="20"/>
              </w:rPr>
              <w:t>a</w:t>
            </w:r>
            <w:r w:rsidRPr="001F50FE">
              <w:rPr>
                <w:sz w:val="20"/>
                <w:szCs w:val="20"/>
              </w:rPr>
              <w:t xml:space="preserve">rbitration </w:t>
            </w:r>
            <w:r w:rsidRPr="00396104">
              <w:rPr>
                <w:rFonts w:cstheme="minorHAnsi"/>
                <w:sz w:val="20"/>
                <w:szCs w:val="20"/>
              </w:rPr>
              <w:t>decisions of the GCA are binding and final on both the retailer and the supplier.</w:t>
            </w:r>
          </w:p>
        </w:tc>
        <w:tc>
          <w:tcPr>
            <w:tcW w:w="4111" w:type="dxa"/>
            <w:shd w:val="clear" w:color="auto" w:fill="D9D9D9" w:themeFill="background1" w:themeFillShade="D9"/>
          </w:tcPr>
          <w:p w14:paraId="6C3A1EEF" w14:textId="77777777" w:rsidR="00D00337" w:rsidRPr="00396104" w:rsidRDefault="00D00337" w:rsidP="009C617A">
            <w:pPr>
              <w:spacing w:after="120"/>
              <w:rPr>
                <w:rFonts w:cstheme="minorHAnsi"/>
                <w:sz w:val="20"/>
                <w:szCs w:val="20"/>
              </w:rPr>
            </w:pPr>
            <w:r w:rsidRPr="00396104">
              <w:rPr>
                <w:rFonts w:cstheme="minorHAnsi"/>
                <w:sz w:val="20"/>
                <w:szCs w:val="20"/>
              </w:rPr>
              <w:t xml:space="preserve">Code Arbiter decisions are binding on retailers. </w:t>
            </w:r>
          </w:p>
          <w:p w14:paraId="590B49A6" w14:textId="5C59D2A0" w:rsidR="00D00337" w:rsidRPr="00D00337" w:rsidRDefault="00D00337" w:rsidP="00E82F00">
            <w:pPr>
              <w:spacing w:after="120"/>
              <w:rPr>
                <w:rFonts w:cstheme="minorHAnsi"/>
                <w:sz w:val="20"/>
                <w:szCs w:val="20"/>
              </w:rPr>
            </w:pPr>
          </w:p>
        </w:tc>
      </w:tr>
      <w:tr w:rsidR="00D00337" w14:paraId="74A44B0A" w14:textId="77777777" w:rsidTr="00781B33">
        <w:tc>
          <w:tcPr>
            <w:tcW w:w="966" w:type="dxa"/>
            <w:shd w:val="clear" w:color="auto" w:fill="D9D9D9" w:themeFill="background1" w:themeFillShade="D9"/>
          </w:tcPr>
          <w:p w14:paraId="3B09F43D" w14:textId="099E909E" w:rsidR="00D00337" w:rsidRPr="007A32BB" w:rsidRDefault="00D00337" w:rsidP="009C617A">
            <w:pPr>
              <w:pStyle w:val="Numbered"/>
              <w:numPr>
                <w:ilvl w:val="0"/>
                <w:numId w:val="0"/>
              </w:numPr>
              <w:spacing w:before="0"/>
              <w:rPr>
                <w:b/>
                <w:bCs/>
              </w:rPr>
            </w:pPr>
            <w:r>
              <w:rPr>
                <w:b/>
                <w:bCs/>
              </w:rPr>
              <w:t>Financial awards or penalties?</w:t>
            </w:r>
            <w:r>
              <w:rPr>
                <w:i/>
                <w:iCs/>
                <w:sz w:val="20"/>
                <w:szCs w:val="20"/>
              </w:rPr>
              <w:t xml:space="preserve"> </w:t>
            </w:r>
          </w:p>
        </w:tc>
        <w:tc>
          <w:tcPr>
            <w:tcW w:w="4279" w:type="dxa"/>
            <w:shd w:val="clear" w:color="auto" w:fill="D9D9D9" w:themeFill="background1" w:themeFillShade="D9"/>
          </w:tcPr>
          <w:p w14:paraId="07EBA9DF" w14:textId="6F94B131" w:rsidR="00D00337" w:rsidRPr="00396104" w:rsidRDefault="00D00337" w:rsidP="009C617A">
            <w:pPr>
              <w:pStyle w:val="Numbered"/>
              <w:numPr>
                <w:ilvl w:val="0"/>
                <w:numId w:val="0"/>
              </w:numPr>
              <w:spacing w:before="0" w:after="120"/>
              <w:rPr>
                <w:rFonts w:cstheme="minorHAnsi"/>
                <w:sz w:val="20"/>
                <w:szCs w:val="20"/>
              </w:rPr>
            </w:pPr>
            <w:r w:rsidRPr="00396104">
              <w:rPr>
                <w:rFonts w:cstheme="minorHAnsi"/>
                <w:sz w:val="20"/>
                <w:szCs w:val="20"/>
              </w:rPr>
              <w:t xml:space="preserve">No specific limitations on imposing </w:t>
            </w:r>
            <w:r>
              <w:rPr>
                <w:rFonts w:cstheme="minorHAnsi"/>
                <w:sz w:val="20"/>
                <w:szCs w:val="20"/>
              </w:rPr>
              <w:t xml:space="preserve">costs or </w:t>
            </w:r>
            <w:r w:rsidRPr="00396104">
              <w:rPr>
                <w:rFonts w:cstheme="minorHAnsi"/>
                <w:sz w:val="20"/>
                <w:szCs w:val="20"/>
              </w:rPr>
              <w:t>financial penalties in the Code</w:t>
            </w:r>
            <w:r>
              <w:rPr>
                <w:rFonts w:cstheme="minorHAnsi"/>
                <w:sz w:val="20"/>
                <w:szCs w:val="20"/>
              </w:rPr>
              <w:t>.</w:t>
            </w:r>
            <w:r w:rsidRPr="00396104">
              <w:rPr>
                <w:rFonts w:cstheme="minorHAnsi"/>
                <w:sz w:val="20"/>
                <w:szCs w:val="20"/>
              </w:rPr>
              <w:t xml:space="preserve"> </w:t>
            </w:r>
          </w:p>
        </w:tc>
        <w:tc>
          <w:tcPr>
            <w:tcW w:w="4111" w:type="dxa"/>
            <w:shd w:val="clear" w:color="auto" w:fill="D9D9D9" w:themeFill="background1" w:themeFillShade="D9"/>
          </w:tcPr>
          <w:p w14:paraId="1D522D65" w14:textId="675CBEFF" w:rsidR="005E3CE8" w:rsidRPr="00396104" w:rsidRDefault="005E3CE8" w:rsidP="005E3CE8">
            <w:pPr>
              <w:pStyle w:val="Numbered"/>
              <w:numPr>
                <w:ilvl w:val="0"/>
                <w:numId w:val="0"/>
              </w:numPr>
              <w:spacing w:before="0" w:after="120"/>
              <w:rPr>
                <w:rFonts w:cstheme="minorHAnsi"/>
                <w:sz w:val="20"/>
                <w:szCs w:val="20"/>
              </w:rPr>
            </w:pPr>
            <w:r w:rsidRPr="00396104">
              <w:rPr>
                <w:rFonts w:cstheme="minorHAnsi"/>
                <w:sz w:val="20"/>
                <w:szCs w:val="20"/>
              </w:rPr>
              <w:t xml:space="preserve">Code Arbiters may </w:t>
            </w:r>
            <w:r>
              <w:rPr>
                <w:rFonts w:cstheme="minorHAnsi"/>
                <w:sz w:val="20"/>
                <w:szCs w:val="20"/>
              </w:rPr>
              <w:t xml:space="preserve">require retailer to pay compensation (up to $5 million) or vary the supply agreement </w:t>
            </w:r>
            <w:r w:rsidRPr="00D00337">
              <w:rPr>
                <w:rFonts w:cstheme="minorHAnsi"/>
                <w:sz w:val="20"/>
                <w:szCs w:val="20"/>
              </w:rPr>
              <w:t xml:space="preserve">(subject to any provisions restricting the unilateral variation of the supply agreement). </w:t>
            </w:r>
          </w:p>
        </w:tc>
      </w:tr>
      <w:tr w:rsidR="00D00337" w14:paraId="320A1E24" w14:textId="77777777" w:rsidTr="00781B33">
        <w:tc>
          <w:tcPr>
            <w:tcW w:w="966" w:type="dxa"/>
            <w:shd w:val="clear" w:color="auto" w:fill="D9D9D9" w:themeFill="background1" w:themeFillShade="D9"/>
          </w:tcPr>
          <w:p w14:paraId="67F7341C" w14:textId="748AB288" w:rsidR="00D00337" w:rsidRPr="00181F7F" w:rsidRDefault="00D00337" w:rsidP="009C617A">
            <w:pPr>
              <w:pStyle w:val="Numbered"/>
              <w:numPr>
                <w:ilvl w:val="0"/>
                <w:numId w:val="0"/>
              </w:numPr>
              <w:spacing w:before="0"/>
              <w:rPr>
                <w:i/>
                <w:iCs/>
              </w:rPr>
            </w:pPr>
            <w:r>
              <w:rPr>
                <w:b/>
                <w:bCs/>
              </w:rPr>
              <w:t>What is the appeal process?</w:t>
            </w:r>
          </w:p>
        </w:tc>
        <w:tc>
          <w:tcPr>
            <w:tcW w:w="4279" w:type="dxa"/>
            <w:shd w:val="clear" w:color="auto" w:fill="D9D9D9" w:themeFill="background1" w:themeFillShade="D9"/>
          </w:tcPr>
          <w:p w14:paraId="11970A9D" w14:textId="77777777" w:rsidR="00D00337" w:rsidRPr="00396104" w:rsidRDefault="00D00337" w:rsidP="009C617A">
            <w:pPr>
              <w:pStyle w:val="Numbered"/>
              <w:numPr>
                <w:ilvl w:val="0"/>
                <w:numId w:val="0"/>
              </w:numPr>
              <w:spacing w:before="0" w:after="120"/>
              <w:rPr>
                <w:rFonts w:cstheme="minorHAnsi"/>
                <w:sz w:val="20"/>
                <w:szCs w:val="20"/>
              </w:rPr>
            </w:pPr>
            <w:r w:rsidRPr="00396104">
              <w:rPr>
                <w:rFonts w:cstheme="minorHAnsi"/>
                <w:sz w:val="20"/>
                <w:szCs w:val="20"/>
              </w:rPr>
              <w:t>Either party may appeal an arbitration decision on the grounds set out in ss67-69 of the Arbitration Act 1996.</w:t>
            </w:r>
          </w:p>
        </w:tc>
        <w:tc>
          <w:tcPr>
            <w:tcW w:w="4111" w:type="dxa"/>
            <w:shd w:val="clear" w:color="auto" w:fill="D9D9D9" w:themeFill="background1" w:themeFillShade="D9"/>
          </w:tcPr>
          <w:p w14:paraId="609DE229" w14:textId="154AA8FB" w:rsidR="00D00337" w:rsidRPr="00396104" w:rsidRDefault="00D00337" w:rsidP="009C617A">
            <w:pPr>
              <w:pStyle w:val="Numbered"/>
              <w:numPr>
                <w:ilvl w:val="0"/>
                <w:numId w:val="0"/>
              </w:numPr>
              <w:spacing w:before="0" w:after="120"/>
              <w:rPr>
                <w:rFonts w:cstheme="minorHAnsi"/>
                <w:sz w:val="20"/>
                <w:szCs w:val="20"/>
              </w:rPr>
            </w:pPr>
            <w:r w:rsidRPr="00396104">
              <w:rPr>
                <w:rFonts w:cstheme="minorHAnsi"/>
                <w:sz w:val="20"/>
                <w:szCs w:val="20"/>
              </w:rPr>
              <w:t>Supplier may request an Independent Review</w:t>
            </w:r>
            <w:r w:rsidR="00E82F00">
              <w:rPr>
                <w:rFonts w:cstheme="minorHAnsi"/>
                <w:sz w:val="20"/>
                <w:szCs w:val="20"/>
              </w:rPr>
              <w:t xml:space="preserve"> of the </w:t>
            </w:r>
            <w:r w:rsidRPr="00396104">
              <w:rPr>
                <w:rFonts w:cstheme="minorHAnsi"/>
                <w:sz w:val="20"/>
                <w:szCs w:val="20"/>
              </w:rPr>
              <w:t xml:space="preserve">Code Arbiter’s processes in dealing with the complaint. </w:t>
            </w:r>
          </w:p>
          <w:p w14:paraId="22EE7BA5" w14:textId="23FA2F70" w:rsidR="00D00337" w:rsidRPr="00396104" w:rsidRDefault="00D00337" w:rsidP="009C617A">
            <w:pPr>
              <w:pStyle w:val="Numbered"/>
              <w:numPr>
                <w:ilvl w:val="0"/>
                <w:numId w:val="0"/>
              </w:numPr>
              <w:spacing w:before="0" w:after="120"/>
              <w:rPr>
                <w:rFonts w:cstheme="minorHAnsi"/>
                <w:sz w:val="20"/>
                <w:szCs w:val="20"/>
              </w:rPr>
            </w:pPr>
            <w:r>
              <w:rPr>
                <w:rFonts w:cstheme="minorHAnsi"/>
                <w:sz w:val="20"/>
                <w:szCs w:val="20"/>
              </w:rPr>
              <w:t>A</w:t>
            </w:r>
            <w:r w:rsidRPr="00396104">
              <w:rPr>
                <w:rFonts w:cstheme="minorHAnsi"/>
                <w:sz w:val="20"/>
                <w:szCs w:val="20"/>
              </w:rPr>
              <w:t xml:space="preserve">n Independent Review </w:t>
            </w:r>
            <w:r>
              <w:rPr>
                <w:rFonts w:cstheme="minorHAnsi"/>
                <w:sz w:val="20"/>
                <w:szCs w:val="20"/>
              </w:rPr>
              <w:t xml:space="preserve">can only make recommendations to the Code Arbiter. </w:t>
            </w:r>
          </w:p>
        </w:tc>
      </w:tr>
    </w:tbl>
    <w:bookmarkEnd w:id="216"/>
    <w:p w14:paraId="21AD93C8" w14:textId="3C0A25CC" w:rsidR="005D778D" w:rsidRDefault="004631DD" w:rsidP="004349C3">
      <w:pPr>
        <w:pStyle w:val="Numbered"/>
      </w:pPr>
      <w:r>
        <w:t xml:space="preserve">Considering the </w:t>
      </w:r>
      <w:r w:rsidR="004349C3">
        <w:t>table above</w:t>
      </w:r>
      <w:r>
        <w:t xml:space="preserve">, some of the </w:t>
      </w:r>
      <w:r w:rsidR="0044101A">
        <w:t xml:space="preserve">key characteristics, </w:t>
      </w:r>
      <w:r w:rsidR="004349C3">
        <w:t xml:space="preserve">strengths and limitations </w:t>
      </w:r>
      <w:r>
        <w:t xml:space="preserve">of </w:t>
      </w:r>
      <w:r w:rsidR="00C5645F">
        <w:t>the UK and Australian approaches</w:t>
      </w:r>
      <w:r>
        <w:t xml:space="preserve"> are as follows: </w:t>
      </w:r>
    </w:p>
    <w:p w14:paraId="53D433DE" w14:textId="3B10BB77" w:rsidR="0044101A" w:rsidRDefault="004349C3" w:rsidP="001174ED">
      <w:pPr>
        <w:pStyle w:val="Numbered"/>
        <w:numPr>
          <w:ilvl w:val="1"/>
          <w:numId w:val="1"/>
        </w:numPr>
      </w:pPr>
      <w:r>
        <w:t xml:space="preserve">The UK approach </w:t>
      </w:r>
      <w:r w:rsidR="0044101A">
        <w:t>involves an escalation model</w:t>
      </w:r>
      <w:r w:rsidR="005D778D">
        <w:t xml:space="preserve"> from </w:t>
      </w:r>
      <w:r w:rsidR="00CC0606">
        <w:t xml:space="preserve">early negotiation </w:t>
      </w:r>
      <w:r w:rsidR="005D778D">
        <w:t xml:space="preserve">(in-house) </w:t>
      </w:r>
      <w:r w:rsidR="0044101A">
        <w:t xml:space="preserve">to determinative arbitration </w:t>
      </w:r>
      <w:r w:rsidR="005E3CE8">
        <w:t>by</w:t>
      </w:r>
      <w:r w:rsidR="00CC0606">
        <w:t xml:space="preserve"> the </w:t>
      </w:r>
      <w:r>
        <w:t>independent GCA</w:t>
      </w:r>
      <w:r w:rsidR="00CC0606">
        <w:t xml:space="preserve">. </w:t>
      </w:r>
      <w:r w:rsidR="0044101A">
        <w:t xml:space="preserve">The GCA has the ability to hear complaints and to proactively </w:t>
      </w:r>
      <w:r w:rsidR="005D778D">
        <w:t xml:space="preserve">engage with retailers </w:t>
      </w:r>
      <w:r w:rsidR="0044101A">
        <w:t xml:space="preserve">to improve conduct in the industry, partially because it has both dispute resolution and regulatory functions. Evidence </w:t>
      </w:r>
      <w:r w:rsidR="0044101A">
        <w:lastRenderedPageBreak/>
        <w:t>indicates the UK regime is relatively successful and suppliers are experiencing fewer Code-related issues</w:t>
      </w:r>
      <w:r w:rsidR="0044101A" w:rsidRPr="0044101A">
        <w:t xml:space="preserve"> </w:t>
      </w:r>
      <w:r w:rsidR="0044101A">
        <w:t>now than they were when the Code was introduced in 2014.</w:t>
      </w:r>
      <w:r w:rsidR="005E3CE8">
        <w:rPr>
          <w:rStyle w:val="FootnoteReference"/>
        </w:rPr>
        <w:footnoteReference w:id="46"/>
      </w:r>
    </w:p>
    <w:p w14:paraId="47DA92B7" w14:textId="6DCC67CE" w:rsidR="005D778D" w:rsidRPr="005E3CE8" w:rsidRDefault="004349C3" w:rsidP="00300776">
      <w:pPr>
        <w:pStyle w:val="Numbered"/>
        <w:numPr>
          <w:ilvl w:val="1"/>
          <w:numId w:val="1"/>
        </w:numPr>
      </w:pPr>
      <w:r>
        <w:t xml:space="preserve">The Australian approach </w:t>
      </w:r>
      <w:r w:rsidR="005D778D">
        <w:t>refer</w:t>
      </w:r>
      <w:r w:rsidR="004631DD">
        <w:t xml:space="preserve">s disputes </w:t>
      </w:r>
      <w:r w:rsidR="005D778D">
        <w:t xml:space="preserve">to a Code Arbiter, which has the ability to make binding determinations, and must follow </w:t>
      </w:r>
      <w:r>
        <w:t>clear</w:t>
      </w:r>
      <w:r w:rsidR="00C5645F">
        <w:t>ly</w:t>
      </w:r>
      <w:r>
        <w:t xml:space="preserve"> set timeframes. </w:t>
      </w:r>
      <w:r w:rsidR="005D778D" w:rsidRPr="005E3CE8">
        <w:t xml:space="preserve">Objectively, the Code Arbiter is an independent and confidential decision maker. However, a Code Arbiter may not be perceived as independent by suppliers because they are employed by the retailer, regardless of the requirements in the Code. Additionally, each </w:t>
      </w:r>
      <w:r w:rsidR="004D34D1" w:rsidRPr="005E3CE8">
        <w:t>retailer has a separate Code Arbiter, which means there may be different interpretations of the Code for different retailers, even when they may be dealing with the same supplier.</w:t>
      </w:r>
    </w:p>
    <w:p w14:paraId="2E47FD16" w14:textId="482A86F1" w:rsidR="007A7155" w:rsidRDefault="00430B72" w:rsidP="00FB5B42">
      <w:pPr>
        <w:pStyle w:val="Heading2"/>
        <w:tabs>
          <w:tab w:val="left" w:pos="567"/>
        </w:tabs>
      </w:pPr>
      <w:bookmarkStart w:id="218" w:name="_Toc103173722"/>
      <w:bookmarkStart w:id="219" w:name="_Toc104358684"/>
      <w:bookmarkStart w:id="220" w:name="_Toc107919664"/>
      <w:bookmarkEnd w:id="215"/>
      <w:r>
        <w:t>8.5</w:t>
      </w:r>
      <w:r w:rsidR="00FB5B42">
        <w:tab/>
      </w:r>
      <w:r w:rsidR="007A7155">
        <w:t>Criteria that will be used to evaluate options for dispute resolution</w:t>
      </w:r>
      <w:bookmarkEnd w:id="218"/>
      <w:bookmarkEnd w:id="219"/>
      <w:bookmarkEnd w:id="220"/>
    </w:p>
    <w:p w14:paraId="67FECD97" w14:textId="29585D4E" w:rsidR="00244309" w:rsidRDefault="00244309" w:rsidP="00244309">
      <w:pPr>
        <w:pStyle w:val="Numbered"/>
      </w:pPr>
      <w:r>
        <w:t xml:space="preserve">We are using </w:t>
      </w:r>
      <w:r w:rsidR="008104F7">
        <w:t xml:space="preserve">a variation of </w:t>
      </w:r>
      <w:r>
        <w:t xml:space="preserve">the </w:t>
      </w:r>
      <w:r w:rsidR="008104F7">
        <w:t>GCDR’s</w:t>
      </w:r>
      <w:r>
        <w:t xml:space="preserve"> principles</w:t>
      </w:r>
      <w:r>
        <w:rPr>
          <w:rStyle w:val="FootnoteReference"/>
        </w:rPr>
        <w:footnoteReference w:id="47"/>
      </w:r>
      <w:r>
        <w:t xml:space="preserve"> as the criteria to evaluate dispute resolution options:</w:t>
      </w:r>
    </w:p>
    <w:p w14:paraId="3521FDBC" w14:textId="5F12B241" w:rsidR="00244309" w:rsidRPr="00244309" w:rsidRDefault="00244309" w:rsidP="00244309">
      <w:pPr>
        <w:pStyle w:val="Numbered"/>
        <w:numPr>
          <w:ilvl w:val="1"/>
          <w:numId w:val="1"/>
        </w:numPr>
      </w:pPr>
      <w:r w:rsidRPr="003406BA">
        <w:rPr>
          <w:b/>
          <w:bCs/>
        </w:rPr>
        <w:t>User focussed and accessible</w:t>
      </w:r>
      <w:r w:rsidRPr="004631DD">
        <w:rPr>
          <w:b/>
          <w:bCs/>
        </w:rPr>
        <w:t xml:space="preserve">: </w:t>
      </w:r>
      <w:r w:rsidRPr="00975584">
        <w:t>Dispute resolution is easy for potential users to find, enter and use regardless of their capabilities and resources</w:t>
      </w:r>
      <w:r>
        <w:t>.</w:t>
      </w:r>
    </w:p>
    <w:p w14:paraId="740FF401" w14:textId="11AEC475" w:rsidR="00244309" w:rsidRPr="00244309" w:rsidRDefault="00244309" w:rsidP="00244309">
      <w:pPr>
        <w:pStyle w:val="Numbered"/>
        <w:numPr>
          <w:ilvl w:val="1"/>
          <w:numId w:val="1"/>
        </w:numPr>
      </w:pPr>
      <w:r w:rsidRPr="003406BA">
        <w:rPr>
          <w:b/>
          <w:bCs/>
        </w:rPr>
        <w:t>Independent and fair</w:t>
      </w:r>
      <w:r w:rsidRPr="004631DD">
        <w:rPr>
          <w:b/>
          <w:bCs/>
        </w:rPr>
        <w:t>:</w:t>
      </w:r>
      <w:r w:rsidRPr="00244309">
        <w:t xml:space="preserve"> </w:t>
      </w:r>
      <w:r w:rsidRPr="00975584">
        <w:t>All dispute resolution functions are, and are seen to be, carried out in an objective and unbiased way.</w:t>
      </w:r>
    </w:p>
    <w:p w14:paraId="2310BAFC" w14:textId="651AB281" w:rsidR="00244309" w:rsidRPr="00244309" w:rsidRDefault="00244309" w:rsidP="00244309">
      <w:pPr>
        <w:pStyle w:val="Numbered"/>
        <w:numPr>
          <w:ilvl w:val="1"/>
          <w:numId w:val="1"/>
        </w:numPr>
      </w:pPr>
      <w:r w:rsidRPr="003406BA">
        <w:rPr>
          <w:b/>
          <w:bCs/>
        </w:rPr>
        <w:t>Efficient</w:t>
      </w:r>
      <w:r>
        <w:rPr>
          <w:b/>
          <w:bCs/>
        </w:rPr>
        <w:t>:</w:t>
      </w:r>
      <w:r w:rsidRPr="00244309">
        <w:t xml:space="preserve"> </w:t>
      </w:r>
      <w:r w:rsidRPr="00975584">
        <w:t>Dispute resolution provides value for money through appropriate, proportionate and timely responses to issues. It evolves and improves over time</w:t>
      </w:r>
      <w:r>
        <w:t>.</w:t>
      </w:r>
    </w:p>
    <w:p w14:paraId="53E20952" w14:textId="156E651A" w:rsidR="00244309" w:rsidRPr="00244309" w:rsidRDefault="00244309" w:rsidP="00244309">
      <w:pPr>
        <w:pStyle w:val="Numbered"/>
        <w:numPr>
          <w:ilvl w:val="1"/>
          <w:numId w:val="1"/>
        </w:numPr>
      </w:pPr>
      <w:r w:rsidRPr="00897DB8">
        <w:rPr>
          <w:b/>
          <w:bCs/>
        </w:rPr>
        <w:t>Effective</w:t>
      </w:r>
      <w:r>
        <w:rPr>
          <w:b/>
          <w:bCs/>
        </w:rPr>
        <w:t>:</w:t>
      </w:r>
      <w:r w:rsidRPr="00244309">
        <w:t xml:space="preserve"> </w:t>
      </w:r>
      <w:r w:rsidRPr="00975584">
        <w:t>Dispute resolution delivers sustainable results and help</w:t>
      </w:r>
      <w:r>
        <w:t>s</w:t>
      </w:r>
      <w:r w:rsidRPr="00975584">
        <w:t xml:space="preserve"> minimise conflict and </w:t>
      </w:r>
      <w:r>
        <w:t>improve</w:t>
      </w:r>
      <w:r w:rsidRPr="00975584">
        <w:t xml:space="preserve"> producti</w:t>
      </w:r>
      <w:r>
        <w:t>vity</w:t>
      </w:r>
      <w:r w:rsidRPr="00244309">
        <w:t>.</w:t>
      </w:r>
    </w:p>
    <w:p w14:paraId="12DFBAF0" w14:textId="3FEC6BC0" w:rsidR="003C6ADD" w:rsidRDefault="003C6ADD" w:rsidP="00244309">
      <w:pPr>
        <w:pStyle w:val="Numbered"/>
      </w:pPr>
      <w:r>
        <w:t xml:space="preserve">At this stage we are not proposing to weight any criterion more </w:t>
      </w:r>
      <w:r w:rsidR="008104F7">
        <w:t xml:space="preserve">heavily </w:t>
      </w:r>
      <w:r>
        <w:t xml:space="preserve">than others. However, we are aware from submissions received by the Commission that some criteria </w:t>
      </w:r>
      <w:r w:rsidR="00AC3C42">
        <w:t xml:space="preserve">(particularly </w:t>
      </w:r>
      <w:r w:rsidR="00244309">
        <w:t xml:space="preserve">those relating to </w:t>
      </w:r>
      <w:r w:rsidR="00AC3C42">
        <w:t>independen</w:t>
      </w:r>
      <w:r w:rsidR="00B70E70">
        <w:t>ce</w:t>
      </w:r>
      <w:r w:rsidR="00AC3C42">
        <w:t>, timel</w:t>
      </w:r>
      <w:r w:rsidR="00E84F54">
        <w:t>iness</w:t>
      </w:r>
      <w:r w:rsidR="00AC3C42">
        <w:t>, and confidential</w:t>
      </w:r>
      <w:r w:rsidR="00E84F54">
        <w:t>ity</w:t>
      </w:r>
      <w:r w:rsidR="00AC3C42">
        <w:t xml:space="preserve">) </w:t>
      </w:r>
      <w:r>
        <w:t xml:space="preserve">are particularly important. </w:t>
      </w:r>
    </w:p>
    <w:p w14:paraId="3A509DFA" w14:textId="77DAD76E" w:rsidR="00421A97" w:rsidRDefault="00430B72" w:rsidP="00FB5B42">
      <w:pPr>
        <w:pStyle w:val="Heading2"/>
        <w:tabs>
          <w:tab w:val="left" w:pos="567"/>
        </w:tabs>
      </w:pPr>
      <w:bookmarkStart w:id="221" w:name="_Toc103173723"/>
      <w:bookmarkStart w:id="222" w:name="_Toc104358685"/>
      <w:bookmarkStart w:id="223" w:name="_Toc107919665"/>
      <w:r>
        <w:t>8.6</w:t>
      </w:r>
      <w:r w:rsidR="00FB5B42">
        <w:tab/>
      </w:r>
      <w:r w:rsidR="008D3BEA">
        <w:t>The options for New Zealand</w:t>
      </w:r>
      <w:bookmarkEnd w:id="221"/>
      <w:bookmarkEnd w:id="222"/>
      <w:bookmarkEnd w:id="223"/>
    </w:p>
    <w:p w14:paraId="621AC83F" w14:textId="11D6B623" w:rsidR="00AC1C06" w:rsidRDefault="00AC1C06" w:rsidP="000E2279">
      <w:pPr>
        <w:pStyle w:val="Numbered"/>
      </w:pPr>
      <w:r>
        <w:t xml:space="preserve">We are considering dispute resolution approaches based on the UK </w:t>
      </w:r>
      <w:r w:rsidR="005A74B2">
        <w:t>and</w:t>
      </w:r>
      <w:r>
        <w:t xml:space="preserve"> Australian models</w:t>
      </w:r>
      <w:r w:rsidR="00760331">
        <w:t xml:space="preserve"> (</w:t>
      </w:r>
      <w:r w:rsidR="005A74B2" w:rsidRPr="00A31DD7">
        <w:rPr>
          <w:b/>
          <w:bCs/>
        </w:rPr>
        <w:t>O</w:t>
      </w:r>
      <w:r w:rsidRPr="00A31DD7">
        <w:rPr>
          <w:b/>
          <w:bCs/>
        </w:rPr>
        <w:t>ptions</w:t>
      </w:r>
      <w:r w:rsidRPr="00A31DD7">
        <w:rPr>
          <w:b/>
        </w:rPr>
        <w:t xml:space="preserve"> </w:t>
      </w:r>
      <w:r w:rsidR="00A31DD7">
        <w:rPr>
          <w:b/>
        </w:rPr>
        <w:t>A</w:t>
      </w:r>
      <w:r w:rsidR="00A31DD7" w:rsidRPr="00A31DD7">
        <w:rPr>
          <w:b/>
        </w:rPr>
        <w:t xml:space="preserve"> </w:t>
      </w:r>
      <w:r w:rsidR="005A74B2" w:rsidRPr="00A31DD7">
        <w:rPr>
          <w:b/>
          <w:bCs/>
        </w:rPr>
        <w:t>and</w:t>
      </w:r>
      <w:r w:rsidRPr="00A31DD7">
        <w:rPr>
          <w:b/>
        </w:rPr>
        <w:t xml:space="preserve"> </w:t>
      </w:r>
      <w:r w:rsidR="00A31DD7">
        <w:rPr>
          <w:b/>
        </w:rPr>
        <w:t>B</w:t>
      </w:r>
      <w:r w:rsidR="00A31DD7">
        <w:t xml:space="preserve"> </w:t>
      </w:r>
      <w:r>
        <w:t>below</w:t>
      </w:r>
      <w:r w:rsidR="00760331">
        <w:t>)</w:t>
      </w:r>
      <w:r w:rsidR="008104F7">
        <w:t>, and a third approach (</w:t>
      </w:r>
      <w:r w:rsidR="008104F7">
        <w:rPr>
          <w:b/>
          <w:bCs/>
        </w:rPr>
        <w:t xml:space="preserve">Option </w:t>
      </w:r>
      <w:r w:rsidR="008104F7" w:rsidRPr="008104F7">
        <w:rPr>
          <w:b/>
          <w:bCs/>
        </w:rPr>
        <w:t>C</w:t>
      </w:r>
      <w:r w:rsidR="008104F7">
        <w:t xml:space="preserve">) for comparison. Our </w:t>
      </w:r>
      <w:r w:rsidR="00381D7D">
        <w:t xml:space="preserve">thinking behind the </w:t>
      </w:r>
      <w:r w:rsidR="008104F7">
        <w:t>third approach</w:t>
      </w:r>
      <w:r w:rsidR="00381D7D">
        <w:t xml:space="preserve"> model is discussed</w:t>
      </w:r>
      <w:r w:rsidR="008104F7">
        <w:t xml:space="preserve"> below</w:t>
      </w:r>
      <w:r w:rsidR="00381D7D">
        <w:t xml:space="preserve">, and then </w:t>
      </w:r>
      <w:r w:rsidR="008104F7">
        <w:t xml:space="preserve">the three options are outlined. </w:t>
      </w:r>
    </w:p>
    <w:p w14:paraId="212A2905" w14:textId="513EF28C" w:rsidR="00D57253" w:rsidRDefault="00D57253" w:rsidP="00AC1C06">
      <w:pPr>
        <w:pStyle w:val="Numbered"/>
      </w:pPr>
      <w:r>
        <w:lastRenderedPageBreak/>
        <w:t xml:space="preserve">Fundamentally, </w:t>
      </w:r>
      <w:r w:rsidR="00760331">
        <w:t xml:space="preserve">a </w:t>
      </w:r>
      <w:r w:rsidR="008104F7">
        <w:t>third approach to dispute resolution</w:t>
      </w:r>
      <w:r>
        <w:t xml:space="preserve"> </w:t>
      </w:r>
      <w:r w:rsidR="00760331">
        <w:t xml:space="preserve">could involve </w:t>
      </w:r>
      <w:r>
        <w:t xml:space="preserve">a </w:t>
      </w:r>
      <w:r w:rsidR="00A31DD7">
        <w:t>two</w:t>
      </w:r>
      <w:r>
        <w:t>-step method:</w:t>
      </w:r>
    </w:p>
    <w:p w14:paraId="43EB6E9B" w14:textId="5BB8B1B5" w:rsidR="00D57253" w:rsidRDefault="00D57253" w:rsidP="00A31DD7">
      <w:pPr>
        <w:pStyle w:val="Numbered"/>
        <w:numPr>
          <w:ilvl w:val="1"/>
          <w:numId w:val="1"/>
        </w:numPr>
      </w:pPr>
      <w:r w:rsidRPr="00D57253">
        <w:rPr>
          <w:i/>
          <w:iCs/>
        </w:rPr>
        <w:t>Self</w:t>
      </w:r>
      <w:r w:rsidR="001F0770">
        <w:rPr>
          <w:i/>
          <w:iCs/>
        </w:rPr>
        <w:t>-</w:t>
      </w:r>
      <w:r w:rsidRPr="00D57253">
        <w:rPr>
          <w:i/>
          <w:iCs/>
        </w:rPr>
        <w:t>resolution –</w:t>
      </w:r>
      <w:r>
        <w:t xml:space="preserve"> where the parties work together to resolve issues before they become disputes</w:t>
      </w:r>
      <w:r w:rsidR="005A74B2">
        <w:t>.</w:t>
      </w:r>
    </w:p>
    <w:p w14:paraId="108F463F" w14:textId="53E521CA" w:rsidR="00D57253" w:rsidRDefault="00D57253" w:rsidP="00D57253">
      <w:pPr>
        <w:pStyle w:val="Numbered"/>
        <w:numPr>
          <w:ilvl w:val="1"/>
          <w:numId w:val="1"/>
        </w:numPr>
      </w:pPr>
      <w:r w:rsidRPr="00D57253">
        <w:rPr>
          <w:i/>
          <w:iCs/>
        </w:rPr>
        <w:t xml:space="preserve">Determinative process </w:t>
      </w:r>
      <w:r>
        <w:t>– adjudication using specifically designed processes that allow an independent and impartial third party to determine a solution to the dispute.</w:t>
      </w:r>
    </w:p>
    <w:p w14:paraId="39720AD9" w14:textId="00D51397" w:rsidR="00AC1C06" w:rsidRDefault="008104F7" w:rsidP="00B31F78">
      <w:pPr>
        <w:pStyle w:val="Numbered"/>
        <w:numPr>
          <w:ilvl w:val="0"/>
          <w:numId w:val="0"/>
        </w:numPr>
        <w:ind w:left="567" w:hanging="567"/>
        <w:rPr>
          <w:b/>
          <w:bCs/>
        </w:rPr>
      </w:pPr>
      <w:bookmarkStart w:id="224" w:name="_Hlk103165127"/>
      <w:r>
        <w:rPr>
          <w:b/>
          <w:bCs/>
        </w:rPr>
        <w:t>I</w:t>
      </w:r>
      <w:r w:rsidR="00626AA2">
        <w:rPr>
          <w:b/>
          <w:bCs/>
        </w:rPr>
        <w:t xml:space="preserve">nternal </w:t>
      </w:r>
      <w:r w:rsidR="00671742">
        <w:rPr>
          <w:b/>
          <w:bCs/>
        </w:rPr>
        <w:t xml:space="preserve">self-resolution </w:t>
      </w:r>
      <w:r w:rsidR="00626AA2">
        <w:rPr>
          <w:b/>
          <w:bCs/>
        </w:rPr>
        <w:t>processes</w:t>
      </w:r>
    </w:p>
    <w:bookmarkEnd w:id="224"/>
    <w:p w14:paraId="35F8AD13" w14:textId="67D3F2B2" w:rsidR="00BA4CAE" w:rsidRDefault="000822C8" w:rsidP="00AC1C06">
      <w:pPr>
        <w:pStyle w:val="Numbered"/>
      </w:pPr>
      <w:r>
        <w:t>The</w:t>
      </w:r>
      <w:r w:rsidR="00AC1C06">
        <w:t xml:space="preserve"> </w:t>
      </w:r>
      <w:r w:rsidR="008104F7">
        <w:t xml:space="preserve">Code should support a designated retailer and supplier having good </w:t>
      </w:r>
      <w:r w:rsidR="00B61749">
        <w:t>internal process</w:t>
      </w:r>
      <w:r w:rsidR="00626AA2">
        <w:t>es</w:t>
      </w:r>
      <w:r w:rsidR="00B61749">
        <w:t xml:space="preserve"> </w:t>
      </w:r>
      <w:r>
        <w:t>to resolve issues</w:t>
      </w:r>
      <w:r w:rsidR="008104F7">
        <w:t xml:space="preserve"> by </w:t>
      </w:r>
      <w:r w:rsidR="003F769A">
        <w:t xml:space="preserve">requiring a </w:t>
      </w:r>
      <w:r w:rsidR="008104F7">
        <w:t xml:space="preserve">designated </w:t>
      </w:r>
      <w:r w:rsidR="003F769A">
        <w:t xml:space="preserve">retailer to employ a </w:t>
      </w:r>
      <w:r>
        <w:t xml:space="preserve">form of </w:t>
      </w:r>
      <w:r w:rsidR="00B61749">
        <w:t>‘</w:t>
      </w:r>
      <w:r w:rsidR="0028454A">
        <w:t>Code Compliance Officer</w:t>
      </w:r>
      <w:r w:rsidR="00B61749">
        <w:t>’</w:t>
      </w:r>
      <w:r w:rsidR="003F769A">
        <w:t xml:space="preserve"> </w:t>
      </w:r>
      <w:r w:rsidR="000A099E">
        <w:t xml:space="preserve">(relatively similar to the UK Code) </w:t>
      </w:r>
      <w:r w:rsidR="00B61749">
        <w:t xml:space="preserve">for a supplier to </w:t>
      </w:r>
      <w:r>
        <w:t xml:space="preserve">escalate an issue to, and </w:t>
      </w:r>
      <w:r w:rsidR="00671742">
        <w:t xml:space="preserve">negotiate </w:t>
      </w:r>
      <w:r w:rsidR="00B61749">
        <w:t>with</w:t>
      </w:r>
      <w:r w:rsidR="000A099E">
        <w:t>, to resolve disputes quickly</w:t>
      </w:r>
      <w:r w:rsidR="00B61749">
        <w:t>.</w:t>
      </w:r>
    </w:p>
    <w:p w14:paraId="49D17DB3" w14:textId="1F683162" w:rsidR="00626AA2" w:rsidRDefault="0003761E" w:rsidP="00AC1C06">
      <w:pPr>
        <w:pStyle w:val="Numbered"/>
      </w:pPr>
      <w:r>
        <w:t>A maximum time to resolve a dispute</w:t>
      </w:r>
      <w:r w:rsidR="003C123B">
        <w:t xml:space="preserve"> (to the satisfaction of the supplier)</w:t>
      </w:r>
      <w:r>
        <w:t xml:space="preserve"> </w:t>
      </w:r>
      <w:r w:rsidR="0028454A">
        <w:t xml:space="preserve">in negotiation with the Code Compliance Officer </w:t>
      </w:r>
      <w:r>
        <w:t xml:space="preserve">could be set in </w:t>
      </w:r>
      <w:r w:rsidR="000A099E">
        <w:t xml:space="preserve">the Code, for example </w:t>
      </w:r>
      <w:r>
        <w:t>20 working days</w:t>
      </w:r>
      <w:r w:rsidR="003C123B">
        <w:t xml:space="preserve">. </w:t>
      </w:r>
    </w:p>
    <w:p w14:paraId="6CF98BAB" w14:textId="31F6E954" w:rsidR="003C123B" w:rsidRDefault="003C123B" w:rsidP="00AC1C06">
      <w:pPr>
        <w:pStyle w:val="Numbered"/>
      </w:pPr>
      <w:r>
        <w:t>If a</w:t>
      </w:r>
      <w:r w:rsidR="00626AA2">
        <w:t xml:space="preserve">n issue </w:t>
      </w:r>
      <w:r>
        <w:t>is not resolved within this time, then the supplier c</w:t>
      </w:r>
      <w:r w:rsidR="006A2037">
        <w:t xml:space="preserve">an take the </w:t>
      </w:r>
      <w:r w:rsidR="000A099E">
        <w:t xml:space="preserve">dispute </w:t>
      </w:r>
      <w:r w:rsidR="006A2037">
        <w:t xml:space="preserve">to determination. </w:t>
      </w:r>
    </w:p>
    <w:p w14:paraId="5986B8C6" w14:textId="00A862F4" w:rsidR="007B5305" w:rsidRDefault="00626AA2" w:rsidP="007B5305">
      <w:pPr>
        <w:pStyle w:val="Numbered"/>
        <w:numPr>
          <w:ilvl w:val="0"/>
          <w:numId w:val="0"/>
        </w:numPr>
        <w:ind w:left="567" w:hanging="567"/>
      </w:pPr>
      <w:bookmarkStart w:id="225" w:name="_Hlk103165131"/>
      <w:r>
        <w:rPr>
          <w:b/>
          <w:bCs/>
        </w:rPr>
        <w:t xml:space="preserve">Provide </w:t>
      </w:r>
      <w:r w:rsidR="007B5305">
        <w:rPr>
          <w:b/>
          <w:bCs/>
        </w:rPr>
        <w:t>a determinative process to resolve disputes</w:t>
      </w:r>
    </w:p>
    <w:bookmarkEnd w:id="225"/>
    <w:p w14:paraId="7D369B48" w14:textId="6862179A" w:rsidR="0028454A" w:rsidRDefault="00626AA2" w:rsidP="000822C8">
      <w:pPr>
        <w:pStyle w:val="Numbered"/>
      </w:pPr>
      <w:r>
        <w:t xml:space="preserve">The determinative process to resolve the dispute would </w:t>
      </w:r>
      <w:r w:rsidR="00955F24">
        <w:t>be</w:t>
      </w:r>
      <w:r>
        <w:t xml:space="preserve"> independent </w:t>
      </w:r>
      <w:r w:rsidR="007B5305">
        <w:t>adjudication</w:t>
      </w:r>
      <w:r>
        <w:t xml:space="preserve"> by an appropriately expert person</w:t>
      </w:r>
      <w:r w:rsidR="003F769A">
        <w:t>.</w:t>
      </w:r>
      <w:r w:rsidR="007B5305">
        <w:t xml:space="preserve"> </w:t>
      </w:r>
      <w:r w:rsidR="0028454A">
        <w:t xml:space="preserve">Adjudication </w:t>
      </w:r>
      <w:r w:rsidR="00955F24">
        <w:t>would</w:t>
      </w:r>
      <w:r w:rsidR="0028454A">
        <w:t xml:space="preserve"> be set up to provide a</w:t>
      </w:r>
      <w:r w:rsidR="00955F24">
        <w:t xml:space="preserve"> binding</w:t>
      </w:r>
      <w:r w:rsidR="0028454A">
        <w:t xml:space="preserve"> determination in a short time period – such as is the case with the Australian Code Arbiters, or Construction Contracts in New Zealand</w:t>
      </w:r>
      <w:r w:rsidR="0028454A">
        <w:rPr>
          <w:rStyle w:val="FootnoteReference"/>
        </w:rPr>
        <w:footnoteReference w:id="48"/>
      </w:r>
      <w:r w:rsidR="003F5340">
        <w:t xml:space="preserve"> – </w:t>
      </w:r>
      <w:r>
        <w:t xml:space="preserve">which would be beneficial for all parties. </w:t>
      </w:r>
    </w:p>
    <w:p w14:paraId="1EED76E8" w14:textId="6879E15E" w:rsidR="008F7A4A" w:rsidRDefault="008F7A4A" w:rsidP="000822C8">
      <w:pPr>
        <w:pStyle w:val="Numbered"/>
      </w:pPr>
      <w:r>
        <w:t xml:space="preserve">However, reflecting the fast nature of the decision, </w:t>
      </w:r>
      <w:r w:rsidR="00955F24">
        <w:t>the</w:t>
      </w:r>
      <w:r>
        <w:t xml:space="preserve"> adjudication </w:t>
      </w:r>
      <w:r w:rsidR="000A099E">
        <w:t>determination</w:t>
      </w:r>
      <w:r>
        <w:t xml:space="preserve"> </w:t>
      </w:r>
      <w:r w:rsidR="003F769A">
        <w:t>need not</w:t>
      </w:r>
      <w:r>
        <w:t xml:space="preserve"> be final. </w:t>
      </w:r>
      <w:r w:rsidR="000A099E">
        <w:t>T</w:t>
      </w:r>
      <w:r>
        <w:t xml:space="preserve">he </w:t>
      </w:r>
      <w:r w:rsidR="000A099E">
        <w:t xml:space="preserve">determination </w:t>
      </w:r>
      <w:r w:rsidR="00955F24">
        <w:t xml:space="preserve">would be binding </w:t>
      </w:r>
      <w:r w:rsidR="000A099E">
        <w:t xml:space="preserve">– </w:t>
      </w:r>
      <w:r w:rsidR="00955F24">
        <w:t xml:space="preserve">and </w:t>
      </w:r>
      <w:r>
        <w:t>the parties involved</w:t>
      </w:r>
      <w:r w:rsidR="00955F24">
        <w:t xml:space="preserve"> would need to abide by it – </w:t>
      </w:r>
      <w:r w:rsidR="000A099E">
        <w:t xml:space="preserve">but </w:t>
      </w:r>
      <w:r w:rsidR="00955F24">
        <w:t xml:space="preserve">they </w:t>
      </w:r>
      <w:r w:rsidR="000A099E">
        <w:t xml:space="preserve">could be allowed </w:t>
      </w:r>
      <w:r>
        <w:t xml:space="preserve">to </w:t>
      </w:r>
      <w:r w:rsidR="000A099E">
        <w:t>go to C</w:t>
      </w:r>
      <w:r>
        <w:t xml:space="preserve">ourt and seek a </w:t>
      </w:r>
      <w:r w:rsidR="00955F24">
        <w:t>full reconsideration of the entire dispute in the near future, if one party to the dispute wanted to</w:t>
      </w:r>
      <w:r>
        <w:t>.</w:t>
      </w:r>
    </w:p>
    <w:p w14:paraId="5536886E" w14:textId="26C7D18E" w:rsidR="007B5305" w:rsidRDefault="007B5305" w:rsidP="007B5305">
      <w:pPr>
        <w:pStyle w:val="Numbered"/>
        <w:numPr>
          <w:ilvl w:val="0"/>
          <w:numId w:val="0"/>
        </w:numPr>
        <w:ind w:left="567" w:hanging="567"/>
      </w:pPr>
      <w:r>
        <w:rPr>
          <w:b/>
          <w:bCs/>
        </w:rPr>
        <w:t xml:space="preserve">Require confidentiality </w:t>
      </w:r>
    </w:p>
    <w:p w14:paraId="281CCDFC" w14:textId="0675DE26" w:rsidR="007B5305" w:rsidRDefault="007B5305" w:rsidP="007B5305">
      <w:pPr>
        <w:pStyle w:val="Numbered"/>
      </w:pPr>
      <w:r>
        <w:t xml:space="preserve">The </w:t>
      </w:r>
      <w:r w:rsidR="000A099E">
        <w:t xml:space="preserve">designated </w:t>
      </w:r>
      <w:r>
        <w:t xml:space="preserve">retailer’s representatives </w:t>
      </w:r>
      <w:r w:rsidR="0028454A">
        <w:t xml:space="preserve">involved in </w:t>
      </w:r>
      <w:r>
        <w:t xml:space="preserve">the dispute </w:t>
      </w:r>
      <w:r w:rsidR="003A6FE2">
        <w:t xml:space="preserve">process </w:t>
      </w:r>
      <w:r>
        <w:t>(eg ‘Code Compliance Officer’ and any representative in adjudication) would be required to maintain confidentiality to keep information separate from the relevant part of the retailer that engaged with the supplier on a day-to-day basis.</w:t>
      </w:r>
      <w:r w:rsidR="006A2037" w:rsidRPr="006A2037">
        <w:t xml:space="preserve"> </w:t>
      </w:r>
      <w:r w:rsidR="006A2037">
        <w:t xml:space="preserve">This would not, however, prevent anonymised data about the disputes being collected and analysed by the </w:t>
      </w:r>
      <w:r w:rsidR="002313C8">
        <w:t>grocer</w:t>
      </w:r>
      <w:r w:rsidR="003F769A">
        <w:t>y</w:t>
      </w:r>
      <w:r w:rsidR="002313C8">
        <w:t xml:space="preserve"> </w:t>
      </w:r>
      <w:r w:rsidR="006A2037">
        <w:t>regulator.</w:t>
      </w:r>
    </w:p>
    <w:p w14:paraId="65D3B3B7" w14:textId="77777777" w:rsidR="000A099E" w:rsidRDefault="000A099E">
      <w:pPr>
        <w:rPr>
          <w:b/>
          <w:bCs/>
        </w:rPr>
      </w:pPr>
      <w:r>
        <w:rPr>
          <w:b/>
          <w:bCs/>
        </w:rPr>
        <w:br w:type="page"/>
      </w:r>
    </w:p>
    <w:p w14:paraId="1FA918A6" w14:textId="72D80F66" w:rsidR="00B31F78" w:rsidRPr="00B31F78" w:rsidRDefault="00DE3A29" w:rsidP="00B31F78">
      <w:pPr>
        <w:pStyle w:val="Numbered"/>
        <w:numPr>
          <w:ilvl w:val="0"/>
          <w:numId w:val="0"/>
        </w:numPr>
        <w:ind w:left="567" w:hanging="567"/>
        <w:rPr>
          <w:b/>
          <w:bCs/>
        </w:rPr>
      </w:pPr>
      <w:r>
        <w:rPr>
          <w:b/>
          <w:bCs/>
        </w:rPr>
        <w:lastRenderedPageBreak/>
        <w:t xml:space="preserve">Power to award costs </w:t>
      </w:r>
      <w:r w:rsidR="009F24AA">
        <w:rPr>
          <w:b/>
          <w:bCs/>
        </w:rPr>
        <w:t>in dispute resolution</w:t>
      </w:r>
    </w:p>
    <w:p w14:paraId="61595069" w14:textId="5128D77F" w:rsidR="00DE3A29" w:rsidRDefault="00DE3A29" w:rsidP="00574201">
      <w:pPr>
        <w:pStyle w:val="Numbered"/>
      </w:pPr>
      <w:r>
        <w:t xml:space="preserve">In order for dispute resolution to be effective there needs to be some ability </w:t>
      </w:r>
      <w:r w:rsidR="009F24AA">
        <w:t>t</w:t>
      </w:r>
      <w:r>
        <w:t xml:space="preserve">o award costs, </w:t>
      </w:r>
      <w:r w:rsidR="000A099E">
        <w:t xml:space="preserve">which is </w:t>
      </w:r>
      <w:r w:rsidR="009F24AA">
        <w:t>important to</w:t>
      </w:r>
      <w:r>
        <w:t>:</w:t>
      </w:r>
    </w:p>
    <w:p w14:paraId="480A22DF" w14:textId="5375E3E6" w:rsidR="00DE3A29" w:rsidRDefault="009F24AA" w:rsidP="00DE3A29">
      <w:pPr>
        <w:pStyle w:val="Numbered"/>
        <w:numPr>
          <w:ilvl w:val="1"/>
          <w:numId w:val="1"/>
        </w:numPr>
      </w:pPr>
      <w:r>
        <w:t>a</w:t>
      </w:r>
      <w:r w:rsidR="00DE3A29">
        <w:t>ddress some of the costs and risks a supplier faces when they choose to engage in dispute resolution</w:t>
      </w:r>
      <w:r w:rsidR="001C43DA">
        <w:t>.</w:t>
      </w:r>
    </w:p>
    <w:p w14:paraId="28242A49" w14:textId="6D702842" w:rsidR="00DE3A29" w:rsidRDefault="009F24AA" w:rsidP="00DE3A29">
      <w:pPr>
        <w:pStyle w:val="Numbered"/>
        <w:numPr>
          <w:ilvl w:val="1"/>
          <w:numId w:val="1"/>
        </w:numPr>
      </w:pPr>
      <w:r>
        <w:t>i</w:t>
      </w:r>
      <w:r w:rsidR="00DE3A29">
        <w:t>ncentivise compliance with the Code by both parties</w:t>
      </w:r>
      <w:r w:rsidR="001C43DA">
        <w:t>.</w:t>
      </w:r>
    </w:p>
    <w:p w14:paraId="7C0F682D" w14:textId="7855275F" w:rsidR="00DE3A29" w:rsidRDefault="009F24AA" w:rsidP="00DE3A29">
      <w:pPr>
        <w:pStyle w:val="Numbered"/>
        <w:numPr>
          <w:ilvl w:val="1"/>
          <w:numId w:val="1"/>
        </w:numPr>
      </w:pPr>
      <w:r>
        <w:t>i</w:t>
      </w:r>
      <w:r w:rsidR="00DE3A29">
        <w:t>nce</w:t>
      </w:r>
      <w:r w:rsidR="001C43DA">
        <w:t>n</w:t>
      </w:r>
      <w:r w:rsidR="00DE3A29">
        <w:t xml:space="preserve">tivise </w:t>
      </w:r>
      <w:r w:rsidR="001C43DA">
        <w:t xml:space="preserve">the </w:t>
      </w:r>
      <w:r w:rsidR="00DE3A29">
        <w:t>resol</w:t>
      </w:r>
      <w:r w:rsidR="001C43DA">
        <w:t>ution of</w:t>
      </w:r>
      <w:r w:rsidR="00DE3A29">
        <w:t xml:space="preserve"> issues before they become disputes.</w:t>
      </w:r>
    </w:p>
    <w:p w14:paraId="75D45B20" w14:textId="1A609105" w:rsidR="000A099E" w:rsidRDefault="000A099E" w:rsidP="000A099E">
      <w:pPr>
        <w:pStyle w:val="Numbered"/>
      </w:pPr>
      <w:r>
        <w:t xml:space="preserve">There also should be direction around who pays any adjudication fees. Similar to the UK and Australia, it may be appropriate to have the designated retailer pay these unless there are good reasons not to. </w:t>
      </w:r>
    </w:p>
    <w:p w14:paraId="130C581B" w14:textId="3031366C" w:rsidR="00C12B1D" w:rsidRPr="00C12B1D" w:rsidRDefault="00C12B1D" w:rsidP="00C12B1D">
      <w:pPr>
        <w:pStyle w:val="Numbered"/>
        <w:numPr>
          <w:ilvl w:val="0"/>
          <w:numId w:val="0"/>
        </w:numPr>
        <w:ind w:left="567" w:hanging="567"/>
        <w:rPr>
          <w:b/>
          <w:bCs/>
          <w:lang w:val="mi-NZ"/>
        </w:rPr>
      </w:pPr>
      <w:r>
        <w:rPr>
          <w:b/>
          <w:bCs/>
        </w:rPr>
        <w:t xml:space="preserve">Tikanga </w:t>
      </w:r>
      <w:r>
        <w:rPr>
          <w:b/>
          <w:bCs/>
          <w:lang w:val="mi-NZ"/>
        </w:rPr>
        <w:t>Māori</w:t>
      </w:r>
    </w:p>
    <w:p w14:paraId="0C716C8C" w14:textId="05A829A9" w:rsidR="00C12B1D" w:rsidRPr="00054732" w:rsidRDefault="006A2037" w:rsidP="00C12B1D">
      <w:pPr>
        <w:pStyle w:val="Numbered"/>
      </w:pPr>
      <w:r>
        <w:t>As part of its Te Tiriti commitments, t</w:t>
      </w:r>
      <w:r w:rsidR="00C12B1D">
        <w:t xml:space="preserve">he </w:t>
      </w:r>
      <w:r w:rsidR="002313C8">
        <w:t xml:space="preserve">dispute resolution </w:t>
      </w:r>
      <w:r w:rsidR="00C12B1D">
        <w:t xml:space="preserve">scheme should </w:t>
      </w:r>
      <w:r w:rsidR="00C12B1D" w:rsidRPr="00753905">
        <w:t>offer tikanga-based processes</w:t>
      </w:r>
      <w:r w:rsidR="00C12B1D">
        <w:t xml:space="preserve"> (such as having regard to the appropriate tikanga </w:t>
      </w:r>
      <w:r w:rsidR="00C12B1D">
        <w:rPr>
          <w:lang w:val="mi-NZ"/>
        </w:rPr>
        <w:t xml:space="preserve">Māori </w:t>
      </w:r>
      <w:r w:rsidR="00C12B1D">
        <w:t>and upholding the mana of the parties in a dispute)</w:t>
      </w:r>
      <w:r w:rsidR="00C12B1D" w:rsidRPr="00753905">
        <w:t xml:space="preserve">, </w:t>
      </w:r>
      <w:r w:rsidR="00C12B1D">
        <w:t>provide the opportunity for</w:t>
      </w:r>
      <w:r w:rsidR="00C12B1D" w:rsidRPr="00753905">
        <w:t xml:space="preserve"> te reo</w:t>
      </w:r>
      <w:r w:rsidR="00C12B1D">
        <w:t xml:space="preserve"> </w:t>
      </w:r>
      <w:r w:rsidR="00C12B1D">
        <w:rPr>
          <w:lang w:val="mi-NZ"/>
        </w:rPr>
        <w:t xml:space="preserve">Māori to </w:t>
      </w:r>
      <w:r w:rsidR="00C12B1D">
        <w:t>be used,</w:t>
      </w:r>
      <w:r w:rsidR="00C12B1D" w:rsidRPr="00753905">
        <w:t xml:space="preserve"> </w:t>
      </w:r>
      <w:r w:rsidR="002313C8">
        <w:t>provide</w:t>
      </w:r>
      <w:r w:rsidR="00C12B1D" w:rsidRPr="00753905">
        <w:t xml:space="preserve"> for culturally competent practitioners, and </w:t>
      </w:r>
      <w:r w:rsidR="002313C8">
        <w:t xml:space="preserve">provide for </w:t>
      </w:r>
      <w:r w:rsidR="00C12B1D" w:rsidRPr="00753905">
        <w:t xml:space="preserve">reporting on outcomes for </w:t>
      </w:r>
      <w:r w:rsidR="00C12B1D" w:rsidRPr="00753905">
        <w:rPr>
          <w:lang w:val="mi-NZ"/>
        </w:rPr>
        <w:t>Māori.</w:t>
      </w:r>
    </w:p>
    <w:p w14:paraId="246C89F6" w14:textId="35EC0B64" w:rsidR="00054732" w:rsidRPr="00054732" w:rsidRDefault="00054732" w:rsidP="00054732">
      <w:pPr>
        <w:pStyle w:val="Numbered"/>
        <w:numPr>
          <w:ilvl w:val="0"/>
          <w:numId w:val="0"/>
        </w:numPr>
        <w:rPr>
          <w:b/>
          <w:bCs/>
          <w:lang w:val="mi-NZ"/>
        </w:rPr>
      </w:pPr>
      <w:r>
        <w:rPr>
          <w:b/>
          <w:bCs/>
        </w:rPr>
        <w:t xml:space="preserve">Onus on retailer to establish matters in relation </w:t>
      </w:r>
      <w:r w:rsidR="009F24AA">
        <w:rPr>
          <w:b/>
          <w:bCs/>
        </w:rPr>
        <w:t>t</w:t>
      </w:r>
      <w:r>
        <w:rPr>
          <w:b/>
          <w:bCs/>
        </w:rPr>
        <w:t xml:space="preserve">o </w:t>
      </w:r>
      <w:r w:rsidR="009F24AA">
        <w:rPr>
          <w:b/>
          <w:bCs/>
        </w:rPr>
        <w:t>contracting out</w:t>
      </w:r>
    </w:p>
    <w:p w14:paraId="0F14D7E3" w14:textId="22E88ABB" w:rsidR="00054732" w:rsidRPr="0012513C" w:rsidRDefault="00054732" w:rsidP="009F24AA">
      <w:pPr>
        <w:pStyle w:val="Numbered"/>
      </w:pPr>
      <w:r>
        <w:t xml:space="preserve">In terms of </w:t>
      </w:r>
      <w:r w:rsidR="009F24AA">
        <w:t>dispute resolution</w:t>
      </w:r>
      <w:r w:rsidR="00191B51">
        <w:t xml:space="preserve"> (and more generally)</w:t>
      </w:r>
      <w:r>
        <w:t xml:space="preserve">, we think it is appropriate as a general principle to </w:t>
      </w:r>
      <w:r w:rsidR="009F24AA">
        <w:t xml:space="preserve">put the onus on the </w:t>
      </w:r>
      <w:r w:rsidR="00A07793">
        <w:t xml:space="preserve">designated </w:t>
      </w:r>
      <w:r>
        <w:t xml:space="preserve">retailer </w:t>
      </w:r>
      <w:r w:rsidR="002313C8">
        <w:t xml:space="preserve">to </w:t>
      </w:r>
      <w:r w:rsidR="009F24AA">
        <w:t xml:space="preserve">establish the element of </w:t>
      </w:r>
      <w:r>
        <w:t>‘reasonableness</w:t>
      </w:r>
      <w:r w:rsidR="009F24AA">
        <w:t xml:space="preserve"> in the circumstances</w:t>
      </w:r>
      <w:r>
        <w:t>’</w:t>
      </w:r>
      <w:r w:rsidR="009F24AA">
        <w:t xml:space="preserve"> in relation to contracting out</w:t>
      </w:r>
      <w:r>
        <w:t xml:space="preserve">. </w:t>
      </w:r>
      <w:r w:rsidR="009F24AA">
        <w:t xml:space="preserve">This would apply to any instances where there is an exception to the Code via a </w:t>
      </w:r>
      <w:r w:rsidR="00A07793">
        <w:t xml:space="preserve">grocery </w:t>
      </w:r>
      <w:r w:rsidR="009F24AA">
        <w:t>supply agreement, for example</w:t>
      </w:r>
      <w:r>
        <w:t xml:space="preserve"> unilateral variations, payments for wastage, payments for better positioning of groceries, payments for retailers business activities and promotions</w:t>
      </w:r>
      <w:r w:rsidR="009F24AA">
        <w:t>.</w:t>
      </w:r>
    </w:p>
    <w:p w14:paraId="07FC24FF" w14:textId="56FB9DE8" w:rsidR="00C12B1D" w:rsidRDefault="00C12B1D" w:rsidP="00C12B1D">
      <w:pPr>
        <w:pStyle w:val="Numbered"/>
        <w:numPr>
          <w:ilvl w:val="0"/>
          <w:numId w:val="0"/>
        </w:numPr>
        <w:ind w:left="567" w:hanging="567"/>
        <w:rPr>
          <w:b/>
          <w:bCs/>
        </w:rPr>
      </w:pPr>
      <w:r>
        <w:rPr>
          <w:b/>
          <w:bCs/>
        </w:rPr>
        <w:t>Provide a separate avenue for supplier to raise concerns about conduct direct to</w:t>
      </w:r>
      <w:r w:rsidR="00FE5FAE">
        <w:rPr>
          <w:b/>
          <w:bCs/>
        </w:rPr>
        <w:t xml:space="preserve"> the</w:t>
      </w:r>
      <w:r>
        <w:rPr>
          <w:b/>
          <w:bCs/>
        </w:rPr>
        <w:t xml:space="preserve"> regulator</w:t>
      </w:r>
    </w:p>
    <w:p w14:paraId="552E554E" w14:textId="3407747A" w:rsidR="00C12B1D" w:rsidRDefault="009F24AA" w:rsidP="00D4016C">
      <w:pPr>
        <w:pStyle w:val="Numbered"/>
      </w:pPr>
      <w:r>
        <w:t>S</w:t>
      </w:r>
      <w:r w:rsidR="00C12B1D">
        <w:t>ome suppliers will not raise a</w:t>
      </w:r>
      <w:r w:rsidR="00D77EEC">
        <w:t xml:space="preserve">n issue via dispute resolution but </w:t>
      </w:r>
      <w:r w:rsidR="00C12B1D">
        <w:t xml:space="preserve">may </w:t>
      </w:r>
      <w:r w:rsidR="00D77EEC">
        <w:t xml:space="preserve">be willing to raise an </w:t>
      </w:r>
      <w:r w:rsidR="00C12B1D">
        <w:t xml:space="preserve">issues or complaint </w:t>
      </w:r>
      <w:r w:rsidR="00D77EEC">
        <w:t xml:space="preserve">directly to the </w:t>
      </w:r>
      <w:r w:rsidR="002313C8">
        <w:t xml:space="preserve">groceries </w:t>
      </w:r>
      <w:r w:rsidR="00C12B1D">
        <w:t xml:space="preserve">regulator provided they have the right assurances of confidentiality. </w:t>
      </w:r>
      <w:r w:rsidR="00D77EEC">
        <w:t>T</w:t>
      </w:r>
      <w:r w:rsidR="00C12B1D">
        <w:t>his information would be used by the regulator to target any education campaigns</w:t>
      </w:r>
      <w:r w:rsidR="00191B51">
        <w:t>,</w:t>
      </w:r>
      <w:r w:rsidR="00C12B1D">
        <w:t xml:space="preserve"> to develop guidance to improve the conduct in the industry</w:t>
      </w:r>
      <w:r w:rsidR="00191B51">
        <w:t>, or possibly for enforcement action</w:t>
      </w:r>
      <w:r w:rsidR="00C12B1D">
        <w:t xml:space="preserve">. </w:t>
      </w:r>
    </w:p>
    <w:p w14:paraId="13F8F89C" w14:textId="77777777" w:rsidR="00A07793" w:rsidRDefault="00A07793">
      <w:pPr>
        <w:rPr>
          <w:b/>
          <w:bCs/>
        </w:rPr>
      </w:pPr>
      <w:r>
        <w:rPr>
          <w:b/>
          <w:bCs/>
        </w:rPr>
        <w:br w:type="page"/>
      </w:r>
    </w:p>
    <w:p w14:paraId="0EB2B880" w14:textId="4E1EF064" w:rsidR="007A144F" w:rsidRPr="007A144F" w:rsidRDefault="007A144F" w:rsidP="007A144F">
      <w:pPr>
        <w:pStyle w:val="Numbered"/>
        <w:numPr>
          <w:ilvl w:val="0"/>
          <w:numId w:val="0"/>
        </w:numPr>
        <w:rPr>
          <w:b/>
          <w:bCs/>
        </w:rPr>
      </w:pPr>
      <w:r>
        <w:rPr>
          <w:b/>
          <w:bCs/>
        </w:rPr>
        <w:lastRenderedPageBreak/>
        <w:t>The three options</w:t>
      </w:r>
    </w:p>
    <w:p w14:paraId="10F598E2" w14:textId="08B06E59" w:rsidR="0067197E" w:rsidRDefault="00D449B0" w:rsidP="00574201">
      <w:pPr>
        <w:pStyle w:val="Numbered"/>
      </w:pPr>
      <w:r>
        <w:t>We are considering three options for dispute resolution:</w:t>
      </w:r>
    </w:p>
    <w:tbl>
      <w:tblPr>
        <w:tblStyle w:val="TableGrid"/>
        <w:tblW w:w="9214" w:type="dxa"/>
        <w:tblBorders>
          <w:top w:val="single" w:sz="18" w:space="0" w:color="006272" w:themeColor="text2"/>
          <w:left w:val="none" w:sz="0" w:space="0" w:color="auto"/>
          <w:bottom w:val="single" w:sz="18" w:space="0" w:color="006272" w:themeColor="text2"/>
          <w:right w:val="none" w:sz="0" w:space="0" w:color="auto"/>
          <w:insideH w:val="single" w:sz="6" w:space="0" w:color="006272" w:themeColor="text2"/>
          <w:insideV w:val="single" w:sz="6" w:space="0" w:color="006272" w:themeColor="text2"/>
        </w:tblBorders>
        <w:tblLook w:val="0600" w:firstRow="0" w:lastRow="0" w:firstColumn="0" w:lastColumn="0" w:noHBand="1" w:noVBand="1"/>
      </w:tblPr>
      <w:tblGrid>
        <w:gridCol w:w="2835"/>
        <w:gridCol w:w="2977"/>
        <w:gridCol w:w="3402"/>
      </w:tblGrid>
      <w:tr w:rsidR="00D77EEC" w:rsidRPr="00693A61" w14:paraId="6AE28CA2" w14:textId="77777777" w:rsidTr="00A07793">
        <w:tc>
          <w:tcPr>
            <w:tcW w:w="2835" w:type="dxa"/>
            <w:shd w:val="clear" w:color="auto" w:fill="B3D0D5"/>
          </w:tcPr>
          <w:p w14:paraId="7709B5FD" w14:textId="39B981A9" w:rsidR="00D77EEC" w:rsidRPr="00142B8A" w:rsidRDefault="00D77EEC" w:rsidP="00C33B9C">
            <w:pPr>
              <w:pStyle w:val="Numbered"/>
              <w:numPr>
                <w:ilvl w:val="0"/>
                <w:numId w:val="0"/>
              </w:numPr>
              <w:spacing w:before="0"/>
            </w:pPr>
            <w:r w:rsidRPr="00142B8A">
              <w:rPr>
                <w:b/>
                <w:bCs/>
              </w:rPr>
              <w:t xml:space="preserve">Option </w:t>
            </w:r>
            <w:r w:rsidR="00141601">
              <w:rPr>
                <w:b/>
                <w:bCs/>
              </w:rPr>
              <w:t>A</w:t>
            </w:r>
            <w:r w:rsidR="00141601" w:rsidRPr="00142B8A">
              <w:rPr>
                <w:b/>
                <w:bCs/>
              </w:rPr>
              <w:t xml:space="preserve"> </w:t>
            </w:r>
            <w:r w:rsidR="00141601">
              <w:rPr>
                <w:b/>
                <w:bCs/>
              </w:rPr>
              <w:t>Negotiate-Arbitrate</w:t>
            </w:r>
          </w:p>
        </w:tc>
        <w:tc>
          <w:tcPr>
            <w:tcW w:w="2977" w:type="dxa"/>
            <w:shd w:val="clear" w:color="auto" w:fill="B3D0D5"/>
          </w:tcPr>
          <w:p w14:paraId="4A97A21F" w14:textId="516628B3" w:rsidR="00D77EEC" w:rsidRPr="00142B8A" w:rsidRDefault="00D77EEC" w:rsidP="00C33B9C">
            <w:pPr>
              <w:pStyle w:val="Numbered"/>
              <w:numPr>
                <w:ilvl w:val="0"/>
                <w:numId w:val="0"/>
              </w:numPr>
              <w:spacing w:before="0"/>
            </w:pPr>
            <w:r w:rsidRPr="00142B8A">
              <w:rPr>
                <w:b/>
                <w:bCs/>
              </w:rPr>
              <w:t xml:space="preserve">Option </w:t>
            </w:r>
            <w:r w:rsidR="00141601">
              <w:rPr>
                <w:b/>
                <w:bCs/>
              </w:rPr>
              <w:t>B</w:t>
            </w:r>
            <w:r w:rsidR="00141601" w:rsidRPr="00142B8A">
              <w:rPr>
                <w:b/>
                <w:bCs/>
              </w:rPr>
              <w:t xml:space="preserve"> </w:t>
            </w:r>
            <w:r w:rsidR="00141601">
              <w:rPr>
                <w:b/>
              </w:rPr>
              <w:t>Determinative Code Arbiter</w:t>
            </w:r>
            <w:r w:rsidR="00A07793">
              <w:rPr>
                <w:b/>
              </w:rPr>
              <w:t>s</w:t>
            </w:r>
          </w:p>
        </w:tc>
        <w:tc>
          <w:tcPr>
            <w:tcW w:w="3402" w:type="dxa"/>
            <w:shd w:val="clear" w:color="auto" w:fill="B3D0D5"/>
          </w:tcPr>
          <w:p w14:paraId="363358CD" w14:textId="0B583DBE" w:rsidR="00D77EEC" w:rsidRPr="00142B8A" w:rsidRDefault="00D77EEC" w:rsidP="00C33B9C">
            <w:pPr>
              <w:pStyle w:val="Numbered"/>
              <w:numPr>
                <w:ilvl w:val="0"/>
                <w:numId w:val="0"/>
              </w:numPr>
              <w:spacing w:before="0"/>
            </w:pPr>
            <w:r w:rsidRPr="00142B8A">
              <w:rPr>
                <w:b/>
                <w:bCs/>
              </w:rPr>
              <w:t xml:space="preserve">Option </w:t>
            </w:r>
            <w:r w:rsidR="00141601">
              <w:rPr>
                <w:b/>
                <w:bCs/>
              </w:rPr>
              <w:t>C</w:t>
            </w:r>
            <w:r w:rsidRPr="00142B8A">
              <w:rPr>
                <w:b/>
                <w:bCs/>
              </w:rPr>
              <w:t xml:space="preserve"> </w:t>
            </w:r>
            <w:r w:rsidR="00671742">
              <w:rPr>
                <w:b/>
                <w:bCs/>
              </w:rPr>
              <w:t>Negotiate</w:t>
            </w:r>
            <w:r w:rsidR="00141601">
              <w:rPr>
                <w:b/>
                <w:bCs/>
              </w:rPr>
              <w:t>-Adjudicat</w:t>
            </w:r>
            <w:r w:rsidR="0026575B">
              <w:rPr>
                <w:b/>
                <w:bCs/>
              </w:rPr>
              <w:t>e</w:t>
            </w:r>
          </w:p>
        </w:tc>
      </w:tr>
      <w:tr w:rsidR="00D77EEC" w:rsidRPr="0095677E" w14:paraId="599AEE65" w14:textId="77777777" w:rsidTr="00A07793">
        <w:tc>
          <w:tcPr>
            <w:tcW w:w="2835" w:type="dxa"/>
            <w:shd w:val="clear" w:color="auto" w:fill="B3D0D5"/>
          </w:tcPr>
          <w:p w14:paraId="6C723648" w14:textId="5734456D" w:rsidR="00D77EEC" w:rsidRPr="00D77EEC" w:rsidRDefault="00D77EEC" w:rsidP="003F769A">
            <w:pPr>
              <w:pStyle w:val="Numbered"/>
              <w:numPr>
                <w:ilvl w:val="0"/>
                <w:numId w:val="0"/>
              </w:numPr>
              <w:spacing w:before="0" w:after="120"/>
              <w:rPr>
                <w:b/>
                <w:bCs/>
                <w:sz w:val="20"/>
                <w:szCs w:val="20"/>
              </w:rPr>
            </w:pPr>
            <w:r w:rsidRPr="00D77EEC">
              <w:rPr>
                <w:b/>
                <w:bCs/>
                <w:sz w:val="20"/>
                <w:szCs w:val="20"/>
              </w:rPr>
              <w:t xml:space="preserve">UK </w:t>
            </w:r>
            <w:r>
              <w:rPr>
                <w:b/>
                <w:bCs/>
                <w:sz w:val="20"/>
                <w:szCs w:val="20"/>
              </w:rPr>
              <w:t xml:space="preserve">Negotiate-Arbitrate approach </w:t>
            </w:r>
            <w:r w:rsidRPr="00D77EEC">
              <w:rPr>
                <w:b/>
                <w:bCs/>
                <w:sz w:val="20"/>
                <w:szCs w:val="20"/>
              </w:rPr>
              <w:t>plus:</w:t>
            </w:r>
          </w:p>
          <w:p w14:paraId="79E57A89" w14:textId="77777777" w:rsidR="00D77EEC" w:rsidRPr="00D77EEC" w:rsidRDefault="00D77EEC" w:rsidP="003F769A">
            <w:pPr>
              <w:pStyle w:val="Numbered"/>
              <w:numPr>
                <w:ilvl w:val="0"/>
                <w:numId w:val="0"/>
              </w:numPr>
              <w:spacing w:before="0" w:after="120"/>
              <w:rPr>
                <w:sz w:val="20"/>
                <w:szCs w:val="20"/>
              </w:rPr>
            </w:pPr>
            <w:r w:rsidRPr="00D77EEC">
              <w:rPr>
                <w:sz w:val="20"/>
                <w:szCs w:val="20"/>
              </w:rPr>
              <w:t>Clarify confidentiality provisions to protect the identity of any suppliers seeking dispute resolution.</w:t>
            </w:r>
          </w:p>
          <w:p w14:paraId="3EE99451" w14:textId="6AA7734A" w:rsidR="00D77EEC" w:rsidRPr="00D77EEC" w:rsidRDefault="00D77EEC" w:rsidP="003F769A">
            <w:pPr>
              <w:pStyle w:val="Numbered"/>
              <w:numPr>
                <w:ilvl w:val="0"/>
                <w:numId w:val="0"/>
              </w:numPr>
              <w:spacing w:before="0" w:after="120"/>
              <w:rPr>
                <w:sz w:val="20"/>
                <w:szCs w:val="20"/>
              </w:rPr>
            </w:pPr>
            <w:r w:rsidRPr="00D77EEC">
              <w:rPr>
                <w:sz w:val="20"/>
                <w:szCs w:val="20"/>
              </w:rPr>
              <w:t>Specify timeframes for any adjudication process</w:t>
            </w:r>
            <w:r w:rsidR="00131F5F">
              <w:rPr>
                <w:sz w:val="20"/>
                <w:szCs w:val="20"/>
              </w:rPr>
              <w:t>.</w:t>
            </w:r>
          </w:p>
          <w:p w14:paraId="294B0CE1" w14:textId="170154AD" w:rsidR="00D77EEC" w:rsidRDefault="00D77EEC" w:rsidP="003F769A">
            <w:pPr>
              <w:pStyle w:val="Numbered"/>
              <w:numPr>
                <w:ilvl w:val="0"/>
                <w:numId w:val="0"/>
              </w:numPr>
              <w:spacing w:before="0" w:after="120"/>
              <w:rPr>
                <w:sz w:val="20"/>
                <w:szCs w:val="20"/>
              </w:rPr>
            </w:pPr>
            <w:r w:rsidRPr="00D77EEC">
              <w:rPr>
                <w:sz w:val="20"/>
                <w:szCs w:val="20"/>
              </w:rPr>
              <w:t>Provide for information sharing between regulator and dispute resolution provider (if separate)</w:t>
            </w:r>
            <w:r w:rsidR="00131F5F">
              <w:rPr>
                <w:sz w:val="20"/>
                <w:szCs w:val="20"/>
              </w:rPr>
              <w:t>.</w:t>
            </w:r>
          </w:p>
          <w:p w14:paraId="291A2706" w14:textId="3E3EA0CA" w:rsidR="00F72952" w:rsidRPr="00D77EEC" w:rsidRDefault="00F72952" w:rsidP="003F769A">
            <w:pPr>
              <w:pStyle w:val="Numbered"/>
              <w:numPr>
                <w:ilvl w:val="0"/>
                <w:numId w:val="0"/>
              </w:numPr>
              <w:spacing w:before="0" w:after="120"/>
              <w:rPr>
                <w:sz w:val="20"/>
                <w:szCs w:val="20"/>
              </w:rPr>
            </w:pPr>
            <w:r>
              <w:rPr>
                <w:sz w:val="20"/>
                <w:szCs w:val="20"/>
              </w:rPr>
              <w:t>Costs of arbitration to be met by the designated retailer.</w:t>
            </w:r>
          </w:p>
          <w:p w14:paraId="48B72B5F" w14:textId="0392C229" w:rsidR="00D77EEC" w:rsidRPr="00142B8A" w:rsidRDefault="00D77EEC" w:rsidP="003F769A">
            <w:pPr>
              <w:pStyle w:val="Numbered"/>
              <w:numPr>
                <w:ilvl w:val="0"/>
                <w:numId w:val="0"/>
              </w:numPr>
              <w:spacing w:before="0" w:after="120"/>
              <w:rPr>
                <w:sz w:val="20"/>
                <w:szCs w:val="20"/>
              </w:rPr>
            </w:pPr>
            <w:r w:rsidRPr="00D77EEC">
              <w:rPr>
                <w:sz w:val="20"/>
                <w:szCs w:val="20"/>
              </w:rPr>
              <w:t>Add provisions to ensure the dispute resolution reflects the values and principles of tikanga Māori</w:t>
            </w:r>
            <w:r w:rsidR="00131F5F">
              <w:rPr>
                <w:sz w:val="20"/>
                <w:szCs w:val="20"/>
              </w:rPr>
              <w:t>.</w:t>
            </w:r>
          </w:p>
        </w:tc>
        <w:tc>
          <w:tcPr>
            <w:tcW w:w="2977" w:type="dxa"/>
            <w:shd w:val="clear" w:color="auto" w:fill="B3D0D5"/>
          </w:tcPr>
          <w:p w14:paraId="4CD9DEB9" w14:textId="7C812F40" w:rsidR="00D77EEC" w:rsidRPr="00D77EEC" w:rsidRDefault="00D77EEC" w:rsidP="003F769A">
            <w:pPr>
              <w:pStyle w:val="Numbered"/>
              <w:numPr>
                <w:ilvl w:val="0"/>
                <w:numId w:val="0"/>
              </w:numPr>
              <w:spacing w:before="0" w:after="120"/>
              <w:rPr>
                <w:b/>
                <w:bCs/>
                <w:sz w:val="20"/>
                <w:szCs w:val="20"/>
              </w:rPr>
            </w:pPr>
            <w:r>
              <w:rPr>
                <w:b/>
                <w:bCs/>
                <w:sz w:val="20"/>
                <w:szCs w:val="20"/>
              </w:rPr>
              <w:t xml:space="preserve">Australian Determinative approach </w:t>
            </w:r>
            <w:r w:rsidRPr="00D77EEC">
              <w:rPr>
                <w:b/>
                <w:bCs/>
                <w:sz w:val="20"/>
                <w:szCs w:val="20"/>
              </w:rPr>
              <w:t>plus:</w:t>
            </w:r>
          </w:p>
          <w:p w14:paraId="0FF5F405" w14:textId="0CC2891D" w:rsidR="00D77EEC" w:rsidRPr="00D77EEC" w:rsidRDefault="00D77EEC" w:rsidP="003F769A">
            <w:pPr>
              <w:pStyle w:val="Numbered"/>
              <w:numPr>
                <w:ilvl w:val="0"/>
                <w:numId w:val="0"/>
              </w:numPr>
              <w:spacing w:before="0" w:after="120"/>
              <w:rPr>
                <w:sz w:val="20"/>
                <w:szCs w:val="20"/>
              </w:rPr>
            </w:pPr>
            <w:r w:rsidRPr="00D77EEC">
              <w:rPr>
                <w:sz w:val="20"/>
                <w:szCs w:val="20"/>
              </w:rPr>
              <w:t>Code Arbiter</w:t>
            </w:r>
            <w:r>
              <w:rPr>
                <w:sz w:val="20"/>
                <w:szCs w:val="20"/>
              </w:rPr>
              <w:t>s</w:t>
            </w:r>
            <w:r w:rsidRPr="00D77EEC">
              <w:rPr>
                <w:sz w:val="20"/>
                <w:szCs w:val="20"/>
              </w:rPr>
              <w:t xml:space="preserve"> </w:t>
            </w:r>
            <w:r>
              <w:rPr>
                <w:sz w:val="20"/>
                <w:szCs w:val="20"/>
              </w:rPr>
              <w:t>employed</w:t>
            </w:r>
            <w:r w:rsidR="003F769A">
              <w:rPr>
                <w:sz w:val="20"/>
                <w:szCs w:val="20"/>
              </w:rPr>
              <w:t xml:space="preserve"> by </w:t>
            </w:r>
            <w:r w:rsidR="00F72952">
              <w:rPr>
                <w:sz w:val="20"/>
                <w:szCs w:val="20"/>
              </w:rPr>
              <w:t>designated retailers</w:t>
            </w:r>
            <w:r w:rsidR="003F769A">
              <w:rPr>
                <w:sz w:val="20"/>
                <w:szCs w:val="20"/>
              </w:rPr>
              <w:t>.</w:t>
            </w:r>
          </w:p>
          <w:p w14:paraId="699F1E2F" w14:textId="1E77559D" w:rsidR="00D77EEC" w:rsidRPr="00D77EEC" w:rsidRDefault="00A31BE8" w:rsidP="003F769A">
            <w:pPr>
              <w:pStyle w:val="Numbered"/>
              <w:numPr>
                <w:ilvl w:val="0"/>
                <w:numId w:val="0"/>
              </w:numPr>
              <w:spacing w:before="0" w:after="120"/>
              <w:rPr>
                <w:sz w:val="20"/>
                <w:szCs w:val="20"/>
              </w:rPr>
            </w:pPr>
            <w:r>
              <w:rPr>
                <w:sz w:val="20"/>
                <w:szCs w:val="20"/>
              </w:rPr>
              <w:t xml:space="preserve">Regulator may conduct </w:t>
            </w:r>
            <w:r w:rsidR="00D77EEC" w:rsidRPr="00D77EEC">
              <w:rPr>
                <w:sz w:val="20"/>
                <w:szCs w:val="20"/>
              </w:rPr>
              <w:t xml:space="preserve">merits-based review of Code Arbiter’s decision, </w:t>
            </w:r>
            <w:r>
              <w:rPr>
                <w:sz w:val="20"/>
                <w:szCs w:val="20"/>
              </w:rPr>
              <w:t>but may only recommend reconsideration</w:t>
            </w:r>
            <w:r w:rsidR="00131F5F">
              <w:rPr>
                <w:sz w:val="20"/>
                <w:szCs w:val="20"/>
              </w:rPr>
              <w:t>.</w:t>
            </w:r>
          </w:p>
          <w:p w14:paraId="1855DE06" w14:textId="475EFC50" w:rsidR="00D77EEC" w:rsidRPr="00D77EEC" w:rsidRDefault="00A31BE8" w:rsidP="003F769A">
            <w:pPr>
              <w:pStyle w:val="Numbered"/>
              <w:numPr>
                <w:ilvl w:val="0"/>
                <w:numId w:val="0"/>
              </w:numPr>
              <w:spacing w:before="0" w:after="120"/>
              <w:rPr>
                <w:sz w:val="20"/>
                <w:szCs w:val="20"/>
              </w:rPr>
            </w:pPr>
            <w:r>
              <w:rPr>
                <w:sz w:val="20"/>
                <w:szCs w:val="20"/>
              </w:rPr>
              <w:t>R</w:t>
            </w:r>
            <w:r w:rsidR="00D77EEC" w:rsidRPr="00D77EEC">
              <w:rPr>
                <w:sz w:val="20"/>
                <w:szCs w:val="20"/>
              </w:rPr>
              <w:t xml:space="preserve">egulator </w:t>
            </w:r>
            <w:r>
              <w:rPr>
                <w:sz w:val="20"/>
                <w:szCs w:val="20"/>
              </w:rPr>
              <w:t>may</w:t>
            </w:r>
            <w:r w:rsidR="00D77EEC" w:rsidRPr="00D77EEC">
              <w:rPr>
                <w:sz w:val="20"/>
                <w:szCs w:val="20"/>
              </w:rPr>
              <w:t xml:space="preserve"> issue </w:t>
            </w:r>
            <w:r>
              <w:rPr>
                <w:sz w:val="20"/>
                <w:szCs w:val="20"/>
              </w:rPr>
              <w:t xml:space="preserve">binding guidance </w:t>
            </w:r>
            <w:r w:rsidR="00D77EEC" w:rsidRPr="00D77EEC">
              <w:rPr>
                <w:sz w:val="20"/>
                <w:szCs w:val="20"/>
              </w:rPr>
              <w:t xml:space="preserve">to Code Arbiters. </w:t>
            </w:r>
          </w:p>
          <w:p w14:paraId="63DC1E14" w14:textId="631C3AAE" w:rsidR="00D77EEC" w:rsidRPr="00D77EEC" w:rsidRDefault="00D77EEC" w:rsidP="003F769A">
            <w:pPr>
              <w:pStyle w:val="Numbered"/>
              <w:numPr>
                <w:ilvl w:val="0"/>
                <w:numId w:val="0"/>
              </w:numPr>
              <w:spacing w:before="0" w:after="120"/>
              <w:rPr>
                <w:sz w:val="20"/>
                <w:szCs w:val="20"/>
              </w:rPr>
            </w:pPr>
            <w:r w:rsidRPr="00D77EEC">
              <w:rPr>
                <w:sz w:val="20"/>
                <w:szCs w:val="20"/>
              </w:rPr>
              <w:t>Add provisions to ensure the dispute resolution reflects the values and principles of tikanga Māori.</w:t>
            </w:r>
          </w:p>
        </w:tc>
        <w:tc>
          <w:tcPr>
            <w:tcW w:w="3402" w:type="dxa"/>
            <w:shd w:val="clear" w:color="auto" w:fill="B3D0D5"/>
          </w:tcPr>
          <w:p w14:paraId="58194A36" w14:textId="32C312D1" w:rsidR="00A31BE8" w:rsidRDefault="00A31BE8" w:rsidP="003F769A">
            <w:pPr>
              <w:pStyle w:val="Numbered"/>
              <w:numPr>
                <w:ilvl w:val="0"/>
                <w:numId w:val="0"/>
              </w:numPr>
              <w:spacing w:before="0" w:after="120"/>
              <w:rPr>
                <w:sz w:val="20"/>
                <w:szCs w:val="20"/>
              </w:rPr>
            </w:pPr>
            <w:r w:rsidRPr="00A31BE8">
              <w:rPr>
                <w:sz w:val="20"/>
                <w:szCs w:val="20"/>
              </w:rPr>
              <w:t>Early self-resolution followed by adjudication</w:t>
            </w:r>
            <w:r w:rsidR="00E556CF">
              <w:rPr>
                <w:sz w:val="20"/>
                <w:szCs w:val="20"/>
              </w:rPr>
              <w:t xml:space="preserve"> </w:t>
            </w:r>
            <w:r w:rsidRPr="00A31BE8">
              <w:rPr>
                <w:sz w:val="20"/>
                <w:szCs w:val="20"/>
              </w:rPr>
              <w:t>to resolve disputes with clear timeframes</w:t>
            </w:r>
            <w:r w:rsidR="00131F5F">
              <w:rPr>
                <w:sz w:val="20"/>
                <w:szCs w:val="20"/>
              </w:rPr>
              <w:t>.</w:t>
            </w:r>
          </w:p>
          <w:p w14:paraId="5AE265A2" w14:textId="2CAB88E7" w:rsidR="003F5340" w:rsidRPr="00A31BE8" w:rsidRDefault="003F5340" w:rsidP="003F769A">
            <w:pPr>
              <w:pStyle w:val="Numbered"/>
              <w:numPr>
                <w:ilvl w:val="0"/>
                <w:numId w:val="0"/>
              </w:numPr>
              <w:spacing w:before="0" w:after="120"/>
              <w:rPr>
                <w:sz w:val="20"/>
                <w:szCs w:val="20"/>
              </w:rPr>
            </w:pPr>
            <w:r>
              <w:rPr>
                <w:sz w:val="20"/>
                <w:szCs w:val="20"/>
              </w:rPr>
              <w:t>Adjudication</w:t>
            </w:r>
            <w:r w:rsidR="003F769A">
              <w:rPr>
                <w:sz w:val="20"/>
                <w:szCs w:val="20"/>
              </w:rPr>
              <w:t xml:space="preserve"> </w:t>
            </w:r>
            <w:r>
              <w:rPr>
                <w:sz w:val="20"/>
                <w:szCs w:val="20"/>
              </w:rPr>
              <w:t>is binding but not final (allowing a broad appeal process)</w:t>
            </w:r>
            <w:r w:rsidR="003F769A">
              <w:rPr>
                <w:sz w:val="20"/>
                <w:szCs w:val="20"/>
              </w:rPr>
              <w:t>.</w:t>
            </w:r>
          </w:p>
          <w:p w14:paraId="5D40DC5F" w14:textId="441438E4" w:rsidR="00A31BE8" w:rsidRPr="00A31BE8" w:rsidRDefault="00A31BE8" w:rsidP="003F769A">
            <w:pPr>
              <w:pStyle w:val="Numbered"/>
              <w:numPr>
                <w:ilvl w:val="0"/>
                <w:numId w:val="0"/>
              </w:numPr>
              <w:spacing w:before="0" w:after="120"/>
              <w:rPr>
                <w:sz w:val="20"/>
                <w:szCs w:val="20"/>
              </w:rPr>
            </w:pPr>
            <w:r w:rsidRPr="00A31BE8">
              <w:rPr>
                <w:sz w:val="20"/>
                <w:szCs w:val="20"/>
              </w:rPr>
              <w:t>Require confidentiality of retailer’s representatives</w:t>
            </w:r>
            <w:r>
              <w:rPr>
                <w:sz w:val="20"/>
                <w:szCs w:val="20"/>
              </w:rPr>
              <w:t>.</w:t>
            </w:r>
          </w:p>
          <w:p w14:paraId="39DE2DBA" w14:textId="17B056C2" w:rsidR="00A31BE8" w:rsidRPr="00A31BE8" w:rsidRDefault="00A31BE8" w:rsidP="003F769A">
            <w:pPr>
              <w:pStyle w:val="Numbered"/>
              <w:numPr>
                <w:ilvl w:val="0"/>
                <w:numId w:val="0"/>
              </w:numPr>
              <w:spacing w:before="0" w:after="120"/>
              <w:rPr>
                <w:sz w:val="20"/>
                <w:szCs w:val="20"/>
              </w:rPr>
            </w:pPr>
            <w:r>
              <w:rPr>
                <w:sz w:val="20"/>
                <w:szCs w:val="20"/>
              </w:rPr>
              <w:t xml:space="preserve">Information sharing </w:t>
            </w:r>
            <w:r w:rsidR="00E556CF">
              <w:rPr>
                <w:sz w:val="20"/>
                <w:szCs w:val="20"/>
              </w:rPr>
              <w:t>between</w:t>
            </w:r>
            <w:r>
              <w:rPr>
                <w:sz w:val="20"/>
                <w:szCs w:val="20"/>
              </w:rPr>
              <w:t xml:space="preserve"> d</w:t>
            </w:r>
            <w:r w:rsidRPr="00A31BE8">
              <w:rPr>
                <w:sz w:val="20"/>
                <w:szCs w:val="20"/>
              </w:rPr>
              <w:t xml:space="preserve">ispute resolution </w:t>
            </w:r>
            <w:r>
              <w:rPr>
                <w:sz w:val="20"/>
                <w:szCs w:val="20"/>
              </w:rPr>
              <w:t xml:space="preserve">is </w:t>
            </w:r>
            <w:r w:rsidR="00E556CF">
              <w:rPr>
                <w:sz w:val="20"/>
                <w:szCs w:val="20"/>
              </w:rPr>
              <w:t xml:space="preserve">providers and </w:t>
            </w:r>
            <w:r w:rsidRPr="00A31BE8">
              <w:rPr>
                <w:sz w:val="20"/>
                <w:szCs w:val="20"/>
              </w:rPr>
              <w:t>regulator</w:t>
            </w:r>
            <w:r w:rsidR="00131F5F">
              <w:rPr>
                <w:sz w:val="20"/>
                <w:szCs w:val="20"/>
              </w:rPr>
              <w:t>.</w:t>
            </w:r>
            <w:r w:rsidRPr="00A31BE8">
              <w:rPr>
                <w:sz w:val="20"/>
                <w:szCs w:val="20"/>
              </w:rPr>
              <w:t xml:space="preserve"> </w:t>
            </w:r>
          </w:p>
          <w:p w14:paraId="0F7C2D31" w14:textId="657FB576" w:rsidR="00A31BE8" w:rsidRDefault="00A31BE8" w:rsidP="003F769A">
            <w:pPr>
              <w:pStyle w:val="Numbered"/>
              <w:numPr>
                <w:ilvl w:val="0"/>
                <w:numId w:val="0"/>
              </w:numPr>
              <w:spacing w:before="0" w:after="120"/>
              <w:rPr>
                <w:sz w:val="20"/>
                <w:szCs w:val="20"/>
              </w:rPr>
            </w:pPr>
            <w:r>
              <w:rPr>
                <w:sz w:val="20"/>
                <w:szCs w:val="20"/>
              </w:rPr>
              <w:t>Regulator may provide binding guidance on the Code</w:t>
            </w:r>
            <w:r w:rsidR="00131F5F">
              <w:rPr>
                <w:sz w:val="20"/>
                <w:szCs w:val="20"/>
              </w:rPr>
              <w:t>.</w:t>
            </w:r>
          </w:p>
          <w:p w14:paraId="6F616E32" w14:textId="52773B7D" w:rsidR="00A07793" w:rsidRPr="00A31BE8" w:rsidRDefault="00A07793" w:rsidP="003F769A">
            <w:pPr>
              <w:pStyle w:val="Numbered"/>
              <w:numPr>
                <w:ilvl w:val="0"/>
                <w:numId w:val="0"/>
              </w:numPr>
              <w:spacing w:before="0" w:after="120"/>
              <w:rPr>
                <w:sz w:val="20"/>
                <w:szCs w:val="20"/>
              </w:rPr>
            </w:pPr>
            <w:r>
              <w:rPr>
                <w:sz w:val="20"/>
                <w:szCs w:val="20"/>
              </w:rPr>
              <w:t>Costs of adjudication to be met by the designated retailer.</w:t>
            </w:r>
          </w:p>
          <w:p w14:paraId="50294077" w14:textId="297F0869" w:rsidR="00D77EEC" w:rsidRPr="00A31BE8" w:rsidRDefault="00A31BE8" w:rsidP="003F769A">
            <w:pPr>
              <w:pStyle w:val="Numbered"/>
              <w:numPr>
                <w:ilvl w:val="0"/>
                <w:numId w:val="0"/>
              </w:numPr>
              <w:spacing w:before="0" w:after="120"/>
              <w:rPr>
                <w:sz w:val="20"/>
                <w:szCs w:val="20"/>
                <w:highlight w:val="yellow"/>
              </w:rPr>
            </w:pPr>
            <w:r w:rsidRPr="00A31BE8">
              <w:rPr>
                <w:sz w:val="20"/>
                <w:szCs w:val="20"/>
              </w:rPr>
              <w:t>Provisions to ensure the delivery of Māori culturally responsive dispute resolution processes that are able to cater to the views/preferences of the parties involved.</w:t>
            </w:r>
          </w:p>
        </w:tc>
      </w:tr>
    </w:tbl>
    <w:p w14:paraId="1970DC7A" w14:textId="6AB6BCAD" w:rsidR="00AC67AF" w:rsidRDefault="00AC67AF" w:rsidP="00997A7E">
      <w:pPr>
        <w:pStyle w:val="Heading2"/>
        <w:tabs>
          <w:tab w:val="left" w:pos="567"/>
        </w:tabs>
      </w:pPr>
      <w:bookmarkStart w:id="226" w:name="_Toc104358686"/>
      <w:bookmarkStart w:id="227" w:name="_Toc107919666"/>
      <w:bookmarkEnd w:id="202"/>
      <w:bookmarkEnd w:id="203"/>
      <w:r>
        <w:t>8.</w:t>
      </w:r>
      <w:r w:rsidR="00FB2DC7">
        <w:t>7</w:t>
      </w:r>
      <w:r w:rsidR="00997A7E">
        <w:tab/>
      </w:r>
      <w:r w:rsidR="00861D0E">
        <w:t xml:space="preserve">Preliminary options </w:t>
      </w:r>
      <w:r>
        <w:t>analysis</w:t>
      </w:r>
      <w:bookmarkEnd w:id="226"/>
      <w:bookmarkEnd w:id="227"/>
    </w:p>
    <w:tbl>
      <w:tblPr>
        <w:tblStyle w:val="TableGrid"/>
        <w:tblW w:w="9498"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shd w:val="clear" w:color="auto" w:fill="D9D9D9" w:themeFill="background1" w:themeFillShade="D9"/>
        <w:tblCellMar>
          <w:top w:w="85" w:type="dxa"/>
          <w:bottom w:w="85" w:type="dxa"/>
        </w:tblCellMar>
        <w:tblLook w:val="04A0" w:firstRow="1" w:lastRow="0" w:firstColumn="1" w:lastColumn="0" w:noHBand="0" w:noVBand="1"/>
      </w:tblPr>
      <w:tblGrid>
        <w:gridCol w:w="1392"/>
        <w:gridCol w:w="2719"/>
        <w:gridCol w:w="2716"/>
        <w:gridCol w:w="2671"/>
      </w:tblGrid>
      <w:tr w:rsidR="001A03AB" w:rsidRPr="005239EF" w14:paraId="3D903A1F" w14:textId="77777777" w:rsidTr="00E27E75">
        <w:tc>
          <w:tcPr>
            <w:tcW w:w="1392" w:type="dxa"/>
            <w:shd w:val="clear" w:color="auto" w:fill="D9D9D9" w:themeFill="background1" w:themeFillShade="D9"/>
          </w:tcPr>
          <w:p w14:paraId="5D610BF9" w14:textId="77777777" w:rsidR="00716115" w:rsidRPr="005239EF" w:rsidRDefault="00716115" w:rsidP="00E27E75">
            <w:pPr>
              <w:pStyle w:val="Numbered"/>
              <w:numPr>
                <w:ilvl w:val="0"/>
                <w:numId w:val="0"/>
              </w:numPr>
              <w:spacing w:before="0"/>
              <w:rPr>
                <w:b/>
                <w:bCs/>
              </w:rPr>
            </w:pPr>
          </w:p>
        </w:tc>
        <w:tc>
          <w:tcPr>
            <w:tcW w:w="2719" w:type="dxa"/>
            <w:shd w:val="clear" w:color="auto" w:fill="D9D9D9" w:themeFill="background1" w:themeFillShade="D9"/>
          </w:tcPr>
          <w:p w14:paraId="6F1546F7" w14:textId="77777777" w:rsidR="00716115" w:rsidRPr="00CE4BE5" w:rsidRDefault="00716115" w:rsidP="00E27E75">
            <w:pPr>
              <w:pStyle w:val="Numbered"/>
              <w:numPr>
                <w:ilvl w:val="0"/>
                <w:numId w:val="0"/>
              </w:numPr>
              <w:tabs>
                <w:tab w:val="left" w:pos="1428"/>
              </w:tabs>
              <w:spacing w:before="0"/>
            </w:pPr>
            <w:r w:rsidRPr="00142B8A">
              <w:rPr>
                <w:b/>
                <w:bCs/>
              </w:rPr>
              <w:t xml:space="preserve">Option </w:t>
            </w:r>
            <w:r>
              <w:rPr>
                <w:b/>
                <w:bCs/>
              </w:rPr>
              <w:t>A</w:t>
            </w:r>
            <w:r w:rsidRPr="00142B8A">
              <w:rPr>
                <w:b/>
                <w:bCs/>
              </w:rPr>
              <w:t xml:space="preserve"> </w:t>
            </w:r>
            <w:r>
              <w:rPr>
                <w:b/>
                <w:bCs/>
              </w:rPr>
              <w:t>Negotiate-Arbitrate</w:t>
            </w:r>
            <w:r w:rsidRPr="00A82B1F" w:rsidDel="00141601">
              <w:rPr>
                <w:b/>
                <w:bCs/>
              </w:rPr>
              <w:t xml:space="preserve"> </w:t>
            </w:r>
            <w:r w:rsidRPr="00CE4BE5">
              <w:rPr>
                <w:sz w:val="18"/>
                <w:szCs w:val="18"/>
              </w:rPr>
              <w:t>(</w:t>
            </w:r>
            <w:r>
              <w:rPr>
                <w:sz w:val="18"/>
                <w:szCs w:val="18"/>
              </w:rPr>
              <w:t>R</w:t>
            </w:r>
            <w:r w:rsidRPr="00CE4BE5">
              <w:rPr>
                <w:sz w:val="18"/>
                <w:szCs w:val="18"/>
              </w:rPr>
              <w:t>efer above for detail of option)</w:t>
            </w:r>
          </w:p>
        </w:tc>
        <w:tc>
          <w:tcPr>
            <w:tcW w:w="2716" w:type="dxa"/>
            <w:shd w:val="clear" w:color="auto" w:fill="D9D9D9" w:themeFill="background1" w:themeFillShade="D9"/>
          </w:tcPr>
          <w:p w14:paraId="1E506712" w14:textId="3D90ACB0" w:rsidR="00716115" w:rsidRPr="00D17979" w:rsidRDefault="00716115" w:rsidP="00E27E75">
            <w:pPr>
              <w:pStyle w:val="Numbered"/>
              <w:numPr>
                <w:ilvl w:val="0"/>
                <w:numId w:val="0"/>
              </w:numPr>
              <w:spacing w:before="0"/>
              <w:rPr>
                <w:b/>
                <w:bCs/>
              </w:rPr>
            </w:pPr>
            <w:r w:rsidRPr="00142B8A">
              <w:rPr>
                <w:b/>
                <w:bCs/>
              </w:rPr>
              <w:t xml:space="preserve">Option </w:t>
            </w:r>
            <w:r>
              <w:rPr>
                <w:b/>
                <w:bCs/>
              </w:rPr>
              <w:t>B</w:t>
            </w:r>
            <w:r w:rsidRPr="00142B8A">
              <w:rPr>
                <w:b/>
                <w:bCs/>
              </w:rPr>
              <w:t xml:space="preserve"> </w:t>
            </w:r>
            <w:r>
              <w:rPr>
                <w:b/>
              </w:rPr>
              <w:t>Determinative Code Arbiter</w:t>
            </w:r>
            <w:r w:rsidR="00A07793">
              <w:rPr>
                <w:b/>
              </w:rPr>
              <w:t>s</w:t>
            </w:r>
            <w:r w:rsidRPr="00A82B1F" w:rsidDel="00141601">
              <w:rPr>
                <w:b/>
                <w:bCs/>
              </w:rPr>
              <w:t xml:space="preserve"> </w:t>
            </w:r>
            <w:r w:rsidRPr="00CE4BE5">
              <w:rPr>
                <w:sz w:val="18"/>
                <w:szCs w:val="18"/>
              </w:rPr>
              <w:t>(</w:t>
            </w:r>
            <w:r>
              <w:rPr>
                <w:sz w:val="18"/>
                <w:szCs w:val="18"/>
              </w:rPr>
              <w:t>R</w:t>
            </w:r>
            <w:r w:rsidRPr="00CE4BE5">
              <w:rPr>
                <w:sz w:val="18"/>
                <w:szCs w:val="18"/>
              </w:rPr>
              <w:t>efer above for detail of option)</w:t>
            </w:r>
          </w:p>
        </w:tc>
        <w:tc>
          <w:tcPr>
            <w:tcW w:w="2671" w:type="dxa"/>
            <w:shd w:val="clear" w:color="auto" w:fill="D9D9D9" w:themeFill="background1" w:themeFillShade="D9"/>
          </w:tcPr>
          <w:p w14:paraId="0D8EE267" w14:textId="77777777" w:rsidR="00716115" w:rsidRPr="00D17979" w:rsidRDefault="00716115" w:rsidP="00E27E75">
            <w:pPr>
              <w:pStyle w:val="Numbered"/>
              <w:numPr>
                <w:ilvl w:val="0"/>
                <w:numId w:val="0"/>
              </w:numPr>
              <w:spacing w:before="0"/>
              <w:rPr>
                <w:b/>
                <w:bCs/>
              </w:rPr>
            </w:pPr>
            <w:r w:rsidRPr="00142B8A">
              <w:rPr>
                <w:b/>
                <w:bCs/>
              </w:rPr>
              <w:t xml:space="preserve">Option </w:t>
            </w:r>
            <w:r>
              <w:rPr>
                <w:b/>
                <w:bCs/>
              </w:rPr>
              <w:t>C</w:t>
            </w:r>
            <w:r w:rsidRPr="00142B8A">
              <w:rPr>
                <w:b/>
                <w:bCs/>
              </w:rPr>
              <w:t xml:space="preserve"> </w:t>
            </w:r>
            <w:r>
              <w:rPr>
                <w:b/>
                <w:bCs/>
              </w:rPr>
              <w:t>Negotiate-Adjudicate</w:t>
            </w:r>
            <w:r w:rsidRPr="00A82B1F" w:rsidDel="00141601">
              <w:rPr>
                <w:b/>
                <w:bCs/>
              </w:rPr>
              <w:t xml:space="preserve"> </w:t>
            </w:r>
            <w:r w:rsidRPr="00CE4BE5">
              <w:rPr>
                <w:sz w:val="18"/>
                <w:szCs w:val="18"/>
              </w:rPr>
              <w:t>(</w:t>
            </w:r>
            <w:r>
              <w:rPr>
                <w:sz w:val="18"/>
                <w:szCs w:val="18"/>
              </w:rPr>
              <w:t>R</w:t>
            </w:r>
            <w:r w:rsidRPr="00CE4BE5">
              <w:rPr>
                <w:sz w:val="18"/>
                <w:szCs w:val="18"/>
              </w:rPr>
              <w:t>efer above for detail of option)</w:t>
            </w:r>
          </w:p>
        </w:tc>
      </w:tr>
      <w:tr w:rsidR="001A03AB" w:rsidRPr="005239EF" w14:paraId="37A38033" w14:textId="77777777" w:rsidTr="00DE7373">
        <w:tc>
          <w:tcPr>
            <w:tcW w:w="1392" w:type="dxa"/>
            <w:shd w:val="clear" w:color="auto" w:fill="D9D9D9" w:themeFill="background1" w:themeFillShade="D9"/>
          </w:tcPr>
          <w:p w14:paraId="1B8E65D2" w14:textId="0A8BC181" w:rsidR="00716115" w:rsidRDefault="00716115" w:rsidP="00DE7373">
            <w:pPr>
              <w:pStyle w:val="Numbered"/>
              <w:numPr>
                <w:ilvl w:val="0"/>
                <w:numId w:val="0"/>
              </w:numPr>
              <w:spacing w:before="0"/>
              <w:rPr>
                <w:b/>
                <w:bCs/>
              </w:rPr>
            </w:pPr>
            <w:r>
              <w:rPr>
                <w:b/>
                <w:bCs/>
              </w:rPr>
              <w:t>User focused and accessible</w:t>
            </w:r>
            <w:r w:rsidRPr="00D17979">
              <w:rPr>
                <w:b/>
                <w:bCs/>
              </w:rPr>
              <w:t xml:space="preserve"> </w:t>
            </w:r>
          </w:p>
          <w:p w14:paraId="40E4F09F" w14:textId="77777777" w:rsidR="00716115" w:rsidRPr="005239EF" w:rsidRDefault="00716115" w:rsidP="00DE7373">
            <w:pPr>
              <w:pStyle w:val="Numbered"/>
              <w:numPr>
                <w:ilvl w:val="0"/>
                <w:numId w:val="0"/>
              </w:numPr>
              <w:spacing w:before="0"/>
              <w:rPr>
                <w:b/>
                <w:bCs/>
              </w:rPr>
            </w:pPr>
          </w:p>
        </w:tc>
        <w:tc>
          <w:tcPr>
            <w:tcW w:w="2719" w:type="dxa"/>
            <w:shd w:val="clear" w:color="auto" w:fill="D9D9D9" w:themeFill="background1" w:themeFillShade="D9"/>
          </w:tcPr>
          <w:p w14:paraId="29EFDA9B" w14:textId="505F8A72" w:rsidR="00716115" w:rsidRPr="007672B1" w:rsidRDefault="00716115" w:rsidP="00DE7373">
            <w:pPr>
              <w:pStyle w:val="Numbered"/>
              <w:numPr>
                <w:ilvl w:val="0"/>
                <w:numId w:val="0"/>
              </w:numPr>
              <w:spacing w:before="0"/>
              <w:rPr>
                <w:sz w:val="20"/>
                <w:szCs w:val="20"/>
              </w:rPr>
            </w:pPr>
            <w:r>
              <w:rPr>
                <w:sz w:val="20"/>
                <w:szCs w:val="20"/>
              </w:rPr>
              <w:t>+</w:t>
            </w:r>
            <w:r w:rsidR="00A07793">
              <w:rPr>
                <w:sz w:val="20"/>
                <w:szCs w:val="20"/>
              </w:rPr>
              <w:t>2</w:t>
            </w:r>
          </w:p>
          <w:p w14:paraId="4852643A" w14:textId="77777777" w:rsidR="00716115" w:rsidRDefault="0046259A" w:rsidP="00DE7373">
            <w:pPr>
              <w:pStyle w:val="Numbered"/>
              <w:numPr>
                <w:ilvl w:val="0"/>
                <w:numId w:val="0"/>
              </w:numPr>
              <w:spacing w:before="0"/>
              <w:rPr>
                <w:sz w:val="20"/>
                <w:szCs w:val="20"/>
              </w:rPr>
            </w:pPr>
            <w:r>
              <w:rPr>
                <w:sz w:val="20"/>
                <w:szCs w:val="20"/>
              </w:rPr>
              <w:t>Moderately accessible for suppliers because c</w:t>
            </w:r>
            <w:r w:rsidR="00716115" w:rsidRPr="007672B1">
              <w:rPr>
                <w:sz w:val="20"/>
                <w:szCs w:val="20"/>
              </w:rPr>
              <w:t xml:space="preserve">osts </w:t>
            </w:r>
            <w:r>
              <w:rPr>
                <w:sz w:val="20"/>
                <w:szCs w:val="20"/>
              </w:rPr>
              <w:t xml:space="preserve">are generally </w:t>
            </w:r>
            <w:r w:rsidR="001A03AB">
              <w:rPr>
                <w:sz w:val="20"/>
                <w:szCs w:val="20"/>
              </w:rPr>
              <w:t xml:space="preserve">met </w:t>
            </w:r>
            <w:r w:rsidR="00716115" w:rsidRPr="007672B1">
              <w:rPr>
                <w:sz w:val="20"/>
                <w:szCs w:val="20"/>
              </w:rPr>
              <w:t xml:space="preserve">by </w:t>
            </w:r>
            <w:r w:rsidR="001A03AB">
              <w:rPr>
                <w:sz w:val="20"/>
                <w:szCs w:val="20"/>
              </w:rPr>
              <w:t xml:space="preserve">designated </w:t>
            </w:r>
            <w:r w:rsidR="00716115" w:rsidRPr="007672B1">
              <w:rPr>
                <w:sz w:val="20"/>
                <w:szCs w:val="20"/>
              </w:rPr>
              <w:t>retailer</w:t>
            </w:r>
            <w:r>
              <w:rPr>
                <w:sz w:val="20"/>
                <w:szCs w:val="20"/>
              </w:rPr>
              <w:t xml:space="preserve"> but process of arbitration is relatively high-effort and can be drawn-out. </w:t>
            </w:r>
          </w:p>
          <w:p w14:paraId="71A233CA" w14:textId="388FCE95" w:rsidR="00A07793" w:rsidRPr="00D17979" w:rsidRDefault="00A07793" w:rsidP="00DE7373">
            <w:pPr>
              <w:pStyle w:val="Numbered"/>
              <w:numPr>
                <w:ilvl w:val="0"/>
                <w:numId w:val="0"/>
              </w:numPr>
              <w:spacing w:before="0"/>
              <w:rPr>
                <w:b/>
                <w:bCs/>
              </w:rPr>
            </w:pPr>
            <w:r>
              <w:rPr>
                <w:sz w:val="20"/>
                <w:szCs w:val="20"/>
              </w:rPr>
              <w:t>U</w:t>
            </w:r>
            <w:r w:rsidRPr="000B7798">
              <w:rPr>
                <w:sz w:val="20"/>
                <w:szCs w:val="20"/>
              </w:rPr>
              <w:t xml:space="preserve">se of </w:t>
            </w:r>
            <w:r>
              <w:rPr>
                <w:sz w:val="20"/>
                <w:szCs w:val="20"/>
              </w:rPr>
              <w:t xml:space="preserve">internal </w:t>
            </w:r>
            <w:r w:rsidRPr="007672B1">
              <w:rPr>
                <w:sz w:val="20"/>
                <w:szCs w:val="20"/>
              </w:rPr>
              <w:t xml:space="preserve">Code Compliance Officers </w:t>
            </w:r>
            <w:r>
              <w:rPr>
                <w:sz w:val="20"/>
                <w:szCs w:val="20"/>
              </w:rPr>
              <w:t>may hinder suppliers from raising a dispute in the first place.</w:t>
            </w:r>
          </w:p>
        </w:tc>
        <w:tc>
          <w:tcPr>
            <w:tcW w:w="2716" w:type="dxa"/>
            <w:shd w:val="clear" w:color="auto" w:fill="D9D9D9" w:themeFill="background1" w:themeFillShade="D9"/>
          </w:tcPr>
          <w:p w14:paraId="76A9B129" w14:textId="67E6B7B9" w:rsidR="00716115" w:rsidRDefault="00716115" w:rsidP="00DE7373">
            <w:pPr>
              <w:pStyle w:val="Numbered"/>
              <w:numPr>
                <w:ilvl w:val="0"/>
                <w:numId w:val="0"/>
              </w:numPr>
              <w:spacing w:before="0"/>
              <w:rPr>
                <w:sz w:val="20"/>
                <w:szCs w:val="20"/>
              </w:rPr>
            </w:pPr>
            <w:r>
              <w:rPr>
                <w:sz w:val="20"/>
                <w:szCs w:val="20"/>
              </w:rPr>
              <w:t>+2</w:t>
            </w:r>
            <w:r w:rsidR="001A03AB">
              <w:rPr>
                <w:sz w:val="20"/>
                <w:szCs w:val="20"/>
              </w:rPr>
              <w:t>.5</w:t>
            </w:r>
          </w:p>
          <w:p w14:paraId="66FE5792" w14:textId="723DA5BD" w:rsidR="00716115" w:rsidRPr="00D17979" w:rsidRDefault="001A03AB" w:rsidP="00DE7373">
            <w:pPr>
              <w:pStyle w:val="Numbered"/>
              <w:numPr>
                <w:ilvl w:val="0"/>
                <w:numId w:val="0"/>
              </w:numPr>
              <w:spacing w:before="0"/>
              <w:rPr>
                <w:b/>
                <w:bCs/>
              </w:rPr>
            </w:pPr>
            <w:r>
              <w:rPr>
                <w:sz w:val="20"/>
                <w:szCs w:val="20"/>
              </w:rPr>
              <w:t>Accessible for suppliers because costs generally met by designated retailer. Code Arbiter function should be easy for suppliers to access.</w:t>
            </w:r>
          </w:p>
        </w:tc>
        <w:tc>
          <w:tcPr>
            <w:tcW w:w="2671" w:type="dxa"/>
            <w:shd w:val="clear" w:color="auto" w:fill="D9D9D9" w:themeFill="background1" w:themeFillShade="D9"/>
          </w:tcPr>
          <w:p w14:paraId="4672689C" w14:textId="07B0C519" w:rsidR="00716115" w:rsidRPr="00514A59" w:rsidRDefault="00716115" w:rsidP="00DE7373">
            <w:pPr>
              <w:pStyle w:val="Numbered"/>
              <w:numPr>
                <w:ilvl w:val="0"/>
                <w:numId w:val="0"/>
              </w:numPr>
              <w:spacing w:before="0"/>
              <w:rPr>
                <w:sz w:val="20"/>
                <w:szCs w:val="20"/>
              </w:rPr>
            </w:pPr>
            <w:r w:rsidRPr="00514A59">
              <w:rPr>
                <w:sz w:val="20"/>
                <w:szCs w:val="20"/>
              </w:rPr>
              <w:t>+2</w:t>
            </w:r>
            <w:r w:rsidR="001A03AB">
              <w:rPr>
                <w:sz w:val="20"/>
                <w:szCs w:val="20"/>
              </w:rPr>
              <w:t>.5</w:t>
            </w:r>
          </w:p>
          <w:p w14:paraId="72C4BE58" w14:textId="77777777" w:rsidR="00716115" w:rsidRDefault="001A03AB" w:rsidP="00DE7373">
            <w:pPr>
              <w:pStyle w:val="Numbered"/>
              <w:numPr>
                <w:ilvl w:val="0"/>
                <w:numId w:val="0"/>
              </w:numPr>
              <w:spacing w:before="0"/>
              <w:rPr>
                <w:sz w:val="20"/>
                <w:szCs w:val="20"/>
              </w:rPr>
            </w:pPr>
            <w:r>
              <w:rPr>
                <w:sz w:val="20"/>
                <w:szCs w:val="20"/>
              </w:rPr>
              <w:t>Accessible for suppliers. Costs to be met by designated retailer and adjudication should be tailored to grocery industry</w:t>
            </w:r>
            <w:r w:rsidR="00716115" w:rsidRPr="00514A59">
              <w:rPr>
                <w:sz w:val="20"/>
                <w:szCs w:val="20"/>
              </w:rPr>
              <w:t xml:space="preserve"> </w:t>
            </w:r>
            <w:r>
              <w:rPr>
                <w:sz w:val="20"/>
                <w:szCs w:val="20"/>
              </w:rPr>
              <w:t xml:space="preserve">needs and capability/resources. </w:t>
            </w:r>
          </w:p>
          <w:p w14:paraId="2E240A14" w14:textId="182F6FCD" w:rsidR="00A07793" w:rsidRPr="00514A59" w:rsidRDefault="00A07793" w:rsidP="00DE7373">
            <w:pPr>
              <w:pStyle w:val="Numbered"/>
              <w:numPr>
                <w:ilvl w:val="0"/>
                <w:numId w:val="0"/>
              </w:numPr>
              <w:spacing w:before="0"/>
              <w:rPr>
                <w:b/>
                <w:bCs/>
                <w:sz w:val="20"/>
                <w:szCs w:val="20"/>
              </w:rPr>
            </w:pPr>
            <w:r>
              <w:rPr>
                <w:sz w:val="20"/>
                <w:szCs w:val="20"/>
              </w:rPr>
              <w:t>U</w:t>
            </w:r>
            <w:r w:rsidRPr="000B7798">
              <w:rPr>
                <w:sz w:val="20"/>
                <w:szCs w:val="20"/>
              </w:rPr>
              <w:t xml:space="preserve">se of </w:t>
            </w:r>
            <w:r>
              <w:rPr>
                <w:sz w:val="20"/>
                <w:szCs w:val="20"/>
              </w:rPr>
              <w:t>internal negotiation</w:t>
            </w:r>
            <w:r w:rsidRPr="007672B1">
              <w:rPr>
                <w:sz w:val="20"/>
                <w:szCs w:val="20"/>
              </w:rPr>
              <w:t xml:space="preserve"> </w:t>
            </w:r>
            <w:r>
              <w:rPr>
                <w:sz w:val="20"/>
                <w:szCs w:val="20"/>
              </w:rPr>
              <w:t>may hinder suppliers from raising a dispute in the first place.</w:t>
            </w:r>
          </w:p>
        </w:tc>
      </w:tr>
      <w:tr w:rsidR="001A03AB" w:rsidRPr="005239EF" w14:paraId="7CD2CB1A" w14:textId="77777777" w:rsidTr="00E27E75">
        <w:tc>
          <w:tcPr>
            <w:tcW w:w="1392" w:type="dxa"/>
            <w:shd w:val="clear" w:color="auto" w:fill="D9D9D9" w:themeFill="background1" w:themeFillShade="D9"/>
          </w:tcPr>
          <w:p w14:paraId="20B71FB9" w14:textId="14554EF9" w:rsidR="00716115" w:rsidRPr="00D17979" w:rsidRDefault="00716115" w:rsidP="00E27E75">
            <w:pPr>
              <w:pStyle w:val="Numbered"/>
              <w:numPr>
                <w:ilvl w:val="0"/>
                <w:numId w:val="0"/>
              </w:numPr>
              <w:spacing w:before="0"/>
              <w:rPr>
                <w:b/>
                <w:bCs/>
              </w:rPr>
            </w:pPr>
            <w:r w:rsidRPr="003406BA">
              <w:rPr>
                <w:b/>
                <w:bCs/>
              </w:rPr>
              <w:t>Independent and fair</w:t>
            </w:r>
            <w:r w:rsidRPr="00D17979">
              <w:rPr>
                <w:b/>
                <w:bCs/>
              </w:rPr>
              <w:t xml:space="preserve"> </w:t>
            </w:r>
          </w:p>
        </w:tc>
        <w:tc>
          <w:tcPr>
            <w:tcW w:w="2719" w:type="dxa"/>
            <w:shd w:val="clear" w:color="auto" w:fill="D9D9D9" w:themeFill="background1" w:themeFillShade="D9"/>
          </w:tcPr>
          <w:p w14:paraId="2C48BC92" w14:textId="0568E202" w:rsidR="00716115" w:rsidRPr="009D5311" w:rsidRDefault="00716115" w:rsidP="00E27E75">
            <w:pPr>
              <w:pStyle w:val="Numbered"/>
              <w:numPr>
                <w:ilvl w:val="0"/>
                <w:numId w:val="0"/>
              </w:numPr>
              <w:spacing w:before="0"/>
              <w:rPr>
                <w:sz w:val="20"/>
                <w:szCs w:val="20"/>
              </w:rPr>
            </w:pPr>
            <w:r w:rsidRPr="009D5311">
              <w:rPr>
                <w:sz w:val="20"/>
                <w:szCs w:val="20"/>
              </w:rPr>
              <w:t>+</w:t>
            </w:r>
            <w:r w:rsidR="001A03AB">
              <w:rPr>
                <w:sz w:val="20"/>
                <w:szCs w:val="20"/>
              </w:rPr>
              <w:t>1.5</w:t>
            </w:r>
          </w:p>
          <w:p w14:paraId="3F178C76" w14:textId="14B34CA9" w:rsidR="00716115" w:rsidRDefault="001A03AB" w:rsidP="00E27E75">
            <w:pPr>
              <w:pStyle w:val="Numbered"/>
              <w:numPr>
                <w:ilvl w:val="0"/>
                <w:numId w:val="0"/>
              </w:numPr>
              <w:spacing w:before="0"/>
              <w:rPr>
                <w:sz w:val="20"/>
                <w:szCs w:val="20"/>
              </w:rPr>
            </w:pPr>
            <w:r>
              <w:rPr>
                <w:sz w:val="20"/>
                <w:szCs w:val="20"/>
              </w:rPr>
              <w:t xml:space="preserve">Determinations </w:t>
            </w:r>
            <w:r w:rsidR="00A07793">
              <w:rPr>
                <w:sz w:val="20"/>
                <w:szCs w:val="20"/>
              </w:rPr>
              <w:t xml:space="preserve">(by arbitration) </w:t>
            </w:r>
            <w:r>
              <w:rPr>
                <w:sz w:val="20"/>
                <w:szCs w:val="20"/>
              </w:rPr>
              <w:t>are independent and impartial.</w:t>
            </w:r>
            <w:r w:rsidR="0002253F">
              <w:rPr>
                <w:sz w:val="20"/>
                <w:szCs w:val="20"/>
              </w:rPr>
              <w:t xml:space="preserve"> Identity of parties to the dispute is confidential</w:t>
            </w:r>
            <w:r>
              <w:rPr>
                <w:sz w:val="20"/>
                <w:szCs w:val="20"/>
              </w:rPr>
              <w:t xml:space="preserve"> </w:t>
            </w:r>
          </w:p>
          <w:p w14:paraId="7D770800" w14:textId="57060811" w:rsidR="0046321E" w:rsidRPr="009D5311" w:rsidRDefault="0046321E" w:rsidP="001A03AB">
            <w:pPr>
              <w:pStyle w:val="Numbered"/>
              <w:numPr>
                <w:ilvl w:val="0"/>
                <w:numId w:val="0"/>
              </w:numPr>
              <w:spacing w:before="0"/>
              <w:rPr>
                <w:b/>
                <w:bCs/>
                <w:sz w:val="20"/>
                <w:szCs w:val="20"/>
              </w:rPr>
            </w:pPr>
          </w:p>
        </w:tc>
        <w:tc>
          <w:tcPr>
            <w:tcW w:w="2716" w:type="dxa"/>
            <w:shd w:val="clear" w:color="auto" w:fill="D9D9D9" w:themeFill="background1" w:themeFillShade="D9"/>
          </w:tcPr>
          <w:p w14:paraId="5A7AD578" w14:textId="672C0473" w:rsidR="00716115" w:rsidRPr="009D5311" w:rsidRDefault="00716115" w:rsidP="00E27E75">
            <w:pPr>
              <w:pStyle w:val="Numbered"/>
              <w:numPr>
                <w:ilvl w:val="0"/>
                <w:numId w:val="0"/>
              </w:numPr>
              <w:spacing w:before="0"/>
              <w:rPr>
                <w:sz w:val="20"/>
                <w:szCs w:val="20"/>
              </w:rPr>
            </w:pPr>
            <w:r w:rsidRPr="009D5311">
              <w:rPr>
                <w:sz w:val="20"/>
                <w:szCs w:val="20"/>
              </w:rPr>
              <w:t>+</w:t>
            </w:r>
            <w:r w:rsidR="00A07793">
              <w:rPr>
                <w:sz w:val="20"/>
                <w:szCs w:val="20"/>
              </w:rPr>
              <w:t>1.5</w:t>
            </w:r>
          </w:p>
          <w:p w14:paraId="4176A5C2" w14:textId="121E75D2" w:rsidR="00716115" w:rsidRDefault="00716115" w:rsidP="00E27E75">
            <w:pPr>
              <w:pStyle w:val="Numbered"/>
              <w:numPr>
                <w:ilvl w:val="0"/>
                <w:numId w:val="0"/>
              </w:numPr>
              <w:spacing w:before="0"/>
              <w:rPr>
                <w:sz w:val="20"/>
                <w:szCs w:val="20"/>
              </w:rPr>
            </w:pPr>
            <w:r w:rsidRPr="009D5311">
              <w:rPr>
                <w:sz w:val="20"/>
                <w:szCs w:val="20"/>
              </w:rPr>
              <w:t>Code Arbiter</w:t>
            </w:r>
            <w:r w:rsidR="0002253F">
              <w:rPr>
                <w:sz w:val="20"/>
                <w:szCs w:val="20"/>
              </w:rPr>
              <w:t>(s)</w:t>
            </w:r>
            <w:r w:rsidRPr="009D5311">
              <w:rPr>
                <w:sz w:val="20"/>
                <w:szCs w:val="20"/>
              </w:rPr>
              <w:t xml:space="preserve"> </w:t>
            </w:r>
            <w:r w:rsidR="0002253F">
              <w:rPr>
                <w:sz w:val="20"/>
                <w:szCs w:val="20"/>
              </w:rPr>
              <w:t>are</w:t>
            </w:r>
            <w:r w:rsidRPr="009D5311">
              <w:rPr>
                <w:sz w:val="20"/>
                <w:szCs w:val="20"/>
              </w:rPr>
              <w:t xml:space="preserve"> independent, </w:t>
            </w:r>
            <w:r w:rsidR="0002253F">
              <w:rPr>
                <w:sz w:val="20"/>
                <w:szCs w:val="20"/>
              </w:rPr>
              <w:t xml:space="preserve">and should be impartial, including being centrally employed to give confidence of this independence.  </w:t>
            </w:r>
          </w:p>
          <w:p w14:paraId="355C44F8" w14:textId="47AF1047" w:rsidR="0046321E" w:rsidRPr="0002253F" w:rsidRDefault="0002253F" w:rsidP="0002253F">
            <w:pPr>
              <w:pStyle w:val="Numbered"/>
              <w:numPr>
                <w:ilvl w:val="0"/>
                <w:numId w:val="0"/>
              </w:numPr>
              <w:spacing w:before="0"/>
              <w:rPr>
                <w:b/>
                <w:bCs/>
                <w:sz w:val="20"/>
                <w:szCs w:val="20"/>
              </w:rPr>
            </w:pPr>
            <w:r>
              <w:rPr>
                <w:sz w:val="20"/>
                <w:szCs w:val="20"/>
              </w:rPr>
              <w:lastRenderedPageBreak/>
              <w:t>Identity of parties to the dispute is confidential</w:t>
            </w:r>
            <w:r w:rsidR="0046321E" w:rsidRPr="007672B1">
              <w:rPr>
                <w:sz w:val="20"/>
                <w:szCs w:val="20"/>
              </w:rPr>
              <w:t>.</w:t>
            </w:r>
          </w:p>
        </w:tc>
        <w:tc>
          <w:tcPr>
            <w:tcW w:w="2671" w:type="dxa"/>
            <w:shd w:val="clear" w:color="auto" w:fill="D9D9D9" w:themeFill="background1" w:themeFillShade="D9"/>
          </w:tcPr>
          <w:p w14:paraId="2FCEB8E8" w14:textId="78DED61A" w:rsidR="00716115" w:rsidRPr="009D5311" w:rsidRDefault="00A07793" w:rsidP="00E27E75">
            <w:pPr>
              <w:pStyle w:val="Numbered"/>
              <w:numPr>
                <w:ilvl w:val="0"/>
                <w:numId w:val="0"/>
              </w:numPr>
              <w:spacing w:before="0"/>
              <w:rPr>
                <w:sz w:val="20"/>
                <w:szCs w:val="20"/>
              </w:rPr>
            </w:pPr>
            <w:r>
              <w:rPr>
                <w:sz w:val="20"/>
                <w:szCs w:val="20"/>
              </w:rPr>
              <w:lastRenderedPageBreak/>
              <w:t>+2</w:t>
            </w:r>
          </w:p>
          <w:p w14:paraId="28987BD1" w14:textId="01B41C2A" w:rsidR="0046321E" w:rsidRPr="009D5311" w:rsidRDefault="0002253F" w:rsidP="0002253F">
            <w:pPr>
              <w:pStyle w:val="Numbered"/>
              <w:numPr>
                <w:ilvl w:val="0"/>
                <w:numId w:val="0"/>
              </w:numPr>
              <w:spacing w:before="0"/>
              <w:rPr>
                <w:b/>
                <w:bCs/>
                <w:sz w:val="20"/>
                <w:szCs w:val="20"/>
              </w:rPr>
            </w:pPr>
            <w:r>
              <w:rPr>
                <w:sz w:val="20"/>
                <w:szCs w:val="20"/>
              </w:rPr>
              <w:t>I</w:t>
            </w:r>
            <w:r w:rsidR="00716115" w:rsidRPr="009D5311">
              <w:rPr>
                <w:sz w:val="20"/>
                <w:szCs w:val="20"/>
              </w:rPr>
              <w:t>ndependent and impartial</w:t>
            </w:r>
            <w:r w:rsidR="00A07793">
              <w:rPr>
                <w:sz w:val="20"/>
                <w:szCs w:val="20"/>
              </w:rPr>
              <w:t>.</w:t>
            </w:r>
            <w:r w:rsidR="00716115" w:rsidRPr="009D5311">
              <w:rPr>
                <w:sz w:val="20"/>
                <w:szCs w:val="20"/>
              </w:rPr>
              <w:t xml:space="preserve"> </w:t>
            </w:r>
            <w:r w:rsidR="00A07793">
              <w:rPr>
                <w:sz w:val="20"/>
                <w:szCs w:val="20"/>
              </w:rPr>
              <w:t>C</w:t>
            </w:r>
            <w:r w:rsidR="0046321E" w:rsidRPr="00514A59">
              <w:rPr>
                <w:sz w:val="20"/>
                <w:szCs w:val="20"/>
              </w:rPr>
              <w:t>onfidentiality</w:t>
            </w:r>
            <w:r>
              <w:rPr>
                <w:sz w:val="20"/>
                <w:szCs w:val="20"/>
              </w:rPr>
              <w:t xml:space="preserve"> </w:t>
            </w:r>
            <w:r w:rsidR="00A07793">
              <w:rPr>
                <w:sz w:val="20"/>
                <w:szCs w:val="20"/>
              </w:rPr>
              <w:t>of participants to the dispute is required</w:t>
            </w:r>
            <w:r w:rsidR="0046321E" w:rsidRPr="00514A59">
              <w:rPr>
                <w:sz w:val="20"/>
                <w:szCs w:val="20"/>
              </w:rPr>
              <w:t>.</w:t>
            </w:r>
            <w:r>
              <w:rPr>
                <w:sz w:val="20"/>
                <w:szCs w:val="20"/>
              </w:rPr>
              <w:t xml:space="preserve"> </w:t>
            </w:r>
          </w:p>
        </w:tc>
      </w:tr>
      <w:tr w:rsidR="001A03AB" w:rsidRPr="005239EF" w14:paraId="044BF1CE" w14:textId="77777777" w:rsidTr="00E27E75">
        <w:tc>
          <w:tcPr>
            <w:tcW w:w="1392" w:type="dxa"/>
            <w:shd w:val="clear" w:color="auto" w:fill="D9D9D9" w:themeFill="background1" w:themeFillShade="D9"/>
          </w:tcPr>
          <w:p w14:paraId="08D7D68D" w14:textId="274F3C47" w:rsidR="00716115" w:rsidRDefault="00716115" w:rsidP="00E27E75">
            <w:pPr>
              <w:pStyle w:val="Numbered"/>
              <w:numPr>
                <w:ilvl w:val="0"/>
                <w:numId w:val="0"/>
              </w:numPr>
              <w:spacing w:before="0"/>
              <w:rPr>
                <w:b/>
                <w:bCs/>
              </w:rPr>
            </w:pPr>
            <w:r>
              <w:rPr>
                <w:b/>
                <w:bCs/>
              </w:rPr>
              <w:t>Efficient</w:t>
            </w:r>
          </w:p>
          <w:p w14:paraId="5B4EA44E" w14:textId="77777777" w:rsidR="00716115" w:rsidRPr="005239EF" w:rsidRDefault="00716115" w:rsidP="00E27E75">
            <w:pPr>
              <w:pStyle w:val="Numbered"/>
              <w:numPr>
                <w:ilvl w:val="0"/>
                <w:numId w:val="0"/>
              </w:numPr>
              <w:spacing w:before="0"/>
              <w:rPr>
                <w:b/>
                <w:bCs/>
              </w:rPr>
            </w:pPr>
          </w:p>
        </w:tc>
        <w:tc>
          <w:tcPr>
            <w:tcW w:w="2719" w:type="dxa"/>
            <w:shd w:val="clear" w:color="auto" w:fill="D9D9D9" w:themeFill="background1" w:themeFillShade="D9"/>
          </w:tcPr>
          <w:p w14:paraId="7302304E" w14:textId="131A7C08" w:rsidR="00716115" w:rsidRDefault="00716115" w:rsidP="00E27E75">
            <w:pPr>
              <w:pStyle w:val="Numbered"/>
              <w:numPr>
                <w:ilvl w:val="0"/>
                <w:numId w:val="0"/>
              </w:numPr>
              <w:spacing w:before="0"/>
              <w:rPr>
                <w:sz w:val="20"/>
                <w:szCs w:val="20"/>
              </w:rPr>
            </w:pPr>
            <w:r>
              <w:rPr>
                <w:sz w:val="20"/>
                <w:szCs w:val="20"/>
              </w:rPr>
              <w:t>+</w:t>
            </w:r>
            <w:r w:rsidR="0002253F">
              <w:rPr>
                <w:sz w:val="20"/>
                <w:szCs w:val="20"/>
              </w:rPr>
              <w:t>1</w:t>
            </w:r>
          </w:p>
          <w:p w14:paraId="55E890BF" w14:textId="2BDD8D31" w:rsidR="00716115" w:rsidRPr="00D17979" w:rsidRDefault="0002253F" w:rsidP="0002253F">
            <w:pPr>
              <w:pStyle w:val="Numbered"/>
              <w:numPr>
                <w:ilvl w:val="0"/>
                <w:numId w:val="0"/>
              </w:numPr>
              <w:spacing w:before="0"/>
              <w:rPr>
                <w:b/>
                <w:bCs/>
              </w:rPr>
            </w:pPr>
            <w:r>
              <w:rPr>
                <w:sz w:val="20"/>
                <w:szCs w:val="20"/>
              </w:rPr>
              <w:t xml:space="preserve">Clear timeframes for negotiation, but arbitration can be a costly and time-consuming process. </w:t>
            </w:r>
          </w:p>
        </w:tc>
        <w:tc>
          <w:tcPr>
            <w:tcW w:w="2716" w:type="dxa"/>
            <w:shd w:val="clear" w:color="auto" w:fill="D9D9D9" w:themeFill="background1" w:themeFillShade="D9"/>
          </w:tcPr>
          <w:p w14:paraId="5605CB8C" w14:textId="589AD450" w:rsidR="00716115" w:rsidRDefault="00716115" w:rsidP="00E27E75">
            <w:pPr>
              <w:pStyle w:val="Numbered"/>
              <w:numPr>
                <w:ilvl w:val="0"/>
                <w:numId w:val="0"/>
              </w:numPr>
              <w:spacing w:before="0"/>
              <w:rPr>
                <w:sz w:val="20"/>
                <w:szCs w:val="20"/>
              </w:rPr>
            </w:pPr>
            <w:r>
              <w:rPr>
                <w:sz w:val="20"/>
                <w:szCs w:val="20"/>
              </w:rPr>
              <w:t>+2</w:t>
            </w:r>
            <w:r w:rsidR="0002253F">
              <w:rPr>
                <w:sz w:val="20"/>
                <w:szCs w:val="20"/>
              </w:rPr>
              <w:t>.5</w:t>
            </w:r>
          </w:p>
          <w:p w14:paraId="44BC3006" w14:textId="3996972D" w:rsidR="00716115" w:rsidRPr="00D17979" w:rsidRDefault="0002253F" w:rsidP="00E27E75">
            <w:pPr>
              <w:pStyle w:val="Numbered"/>
              <w:numPr>
                <w:ilvl w:val="0"/>
                <w:numId w:val="0"/>
              </w:numPr>
              <w:spacing w:before="0"/>
              <w:rPr>
                <w:b/>
                <w:bCs/>
              </w:rPr>
            </w:pPr>
            <w:r>
              <w:rPr>
                <w:sz w:val="20"/>
                <w:szCs w:val="20"/>
              </w:rPr>
              <w:t xml:space="preserve">Clear timeframes for </w:t>
            </w:r>
            <w:r w:rsidR="00716115" w:rsidRPr="007672B1">
              <w:rPr>
                <w:sz w:val="20"/>
                <w:szCs w:val="20"/>
              </w:rPr>
              <w:t xml:space="preserve">Code Arbiter’s investigation and also for independent review. </w:t>
            </w:r>
          </w:p>
        </w:tc>
        <w:tc>
          <w:tcPr>
            <w:tcW w:w="2671" w:type="dxa"/>
            <w:shd w:val="clear" w:color="auto" w:fill="D9D9D9" w:themeFill="background1" w:themeFillShade="D9"/>
          </w:tcPr>
          <w:p w14:paraId="028B3006" w14:textId="77777777" w:rsidR="00716115" w:rsidRPr="00514A59" w:rsidRDefault="00716115" w:rsidP="00E27E75">
            <w:pPr>
              <w:pStyle w:val="Numbered"/>
              <w:numPr>
                <w:ilvl w:val="0"/>
                <w:numId w:val="0"/>
              </w:numPr>
              <w:spacing w:before="0"/>
              <w:rPr>
                <w:sz w:val="20"/>
                <w:szCs w:val="20"/>
              </w:rPr>
            </w:pPr>
            <w:r w:rsidRPr="00514A59">
              <w:rPr>
                <w:sz w:val="20"/>
                <w:szCs w:val="20"/>
              </w:rPr>
              <w:t>+2</w:t>
            </w:r>
          </w:p>
          <w:p w14:paraId="30BE017D" w14:textId="1306E22A" w:rsidR="00716115" w:rsidRPr="00514A59" w:rsidRDefault="0002253F" w:rsidP="00E27E75">
            <w:pPr>
              <w:pStyle w:val="Numbered"/>
              <w:numPr>
                <w:ilvl w:val="0"/>
                <w:numId w:val="0"/>
              </w:numPr>
              <w:spacing w:before="0"/>
              <w:rPr>
                <w:sz w:val="20"/>
                <w:szCs w:val="20"/>
              </w:rPr>
            </w:pPr>
            <w:r>
              <w:rPr>
                <w:sz w:val="20"/>
                <w:szCs w:val="20"/>
              </w:rPr>
              <w:t xml:space="preserve">Clear timeframes for negotiation. Adjudication process should be faster and less costly than arbitration. </w:t>
            </w:r>
          </w:p>
        </w:tc>
      </w:tr>
      <w:tr w:rsidR="001A03AB" w:rsidRPr="005239EF" w14:paraId="4392F44C" w14:textId="77777777" w:rsidTr="00E27E75">
        <w:tc>
          <w:tcPr>
            <w:tcW w:w="1392" w:type="dxa"/>
            <w:shd w:val="clear" w:color="auto" w:fill="D9D9D9" w:themeFill="background1" w:themeFillShade="D9"/>
          </w:tcPr>
          <w:p w14:paraId="6C6B2B29" w14:textId="40115034" w:rsidR="00716115" w:rsidRDefault="00716115" w:rsidP="00E27E75">
            <w:pPr>
              <w:pStyle w:val="Numbered"/>
              <w:numPr>
                <w:ilvl w:val="0"/>
                <w:numId w:val="0"/>
              </w:numPr>
              <w:spacing w:before="0"/>
              <w:rPr>
                <w:b/>
                <w:bCs/>
              </w:rPr>
            </w:pPr>
            <w:r>
              <w:rPr>
                <w:b/>
                <w:bCs/>
              </w:rPr>
              <w:t>Effective</w:t>
            </w:r>
          </w:p>
          <w:p w14:paraId="6663C0CC" w14:textId="77777777" w:rsidR="00716115" w:rsidRPr="005239EF" w:rsidRDefault="00716115" w:rsidP="00E27E75">
            <w:pPr>
              <w:pStyle w:val="Numbered"/>
              <w:numPr>
                <w:ilvl w:val="0"/>
                <w:numId w:val="0"/>
              </w:numPr>
              <w:spacing w:before="0"/>
              <w:rPr>
                <w:b/>
                <w:bCs/>
              </w:rPr>
            </w:pPr>
          </w:p>
        </w:tc>
        <w:tc>
          <w:tcPr>
            <w:tcW w:w="2719" w:type="dxa"/>
            <w:shd w:val="clear" w:color="auto" w:fill="D9D9D9" w:themeFill="background1" w:themeFillShade="D9"/>
          </w:tcPr>
          <w:p w14:paraId="1BE84A86" w14:textId="77777777" w:rsidR="00716115" w:rsidRDefault="00716115" w:rsidP="00E27E75">
            <w:pPr>
              <w:pStyle w:val="Numbered"/>
              <w:numPr>
                <w:ilvl w:val="0"/>
                <w:numId w:val="0"/>
              </w:numPr>
              <w:spacing w:before="0"/>
              <w:rPr>
                <w:sz w:val="20"/>
                <w:szCs w:val="20"/>
              </w:rPr>
            </w:pPr>
            <w:r>
              <w:rPr>
                <w:sz w:val="20"/>
                <w:szCs w:val="20"/>
              </w:rPr>
              <w:t>+2</w:t>
            </w:r>
          </w:p>
          <w:p w14:paraId="3053961A" w14:textId="77777777" w:rsidR="00F72952" w:rsidRDefault="00F72952" w:rsidP="00E27E75">
            <w:pPr>
              <w:pStyle w:val="Numbered"/>
              <w:numPr>
                <w:ilvl w:val="0"/>
                <w:numId w:val="0"/>
              </w:numPr>
              <w:spacing w:before="0"/>
              <w:rPr>
                <w:sz w:val="20"/>
                <w:szCs w:val="20"/>
              </w:rPr>
            </w:pPr>
            <w:r>
              <w:rPr>
                <w:sz w:val="20"/>
                <w:szCs w:val="20"/>
              </w:rPr>
              <w:t xml:space="preserve">Can access necessary expertise. </w:t>
            </w:r>
          </w:p>
          <w:p w14:paraId="01BF65D9" w14:textId="211187DB" w:rsidR="00716115" w:rsidRPr="007672B1" w:rsidRDefault="00F72952" w:rsidP="00E27E75">
            <w:pPr>
              <w:pStyle w:val="Numbered"/>
              <w:numPr>
                <w:ilvl w:val="0"/>
                <w:numId w:val="0"/>
              </w:numPr>
              <w:spacing w:before="0"/>
              <w:rPr>
                <w:sz w:val="20"/>
                <w:szCs w:val="20"/>
              </w:rPr>
            </w:pPr>
            <w:r>
              <w:rPr>
                <w:sz w:val="20"/>
                <w:szCs w:val="20"/>
              </w:rPr>
              <w:t>If following UK model, then costs of arbitration are to be met by the designated retailer. This provides an incentive on designated retailers to reach early resolution.</w:t>
            </w:r>
          </w:p>
          <w:p w14:paraId="22F4C214" w14:textId="77777777" w:rsidR="00716115" w:rsidRPr="00D17979" w:rsidRDefault="00716115" w:rsidP="00E27E75">
            <w:pPr>
              <w:pStyle w:val="Numbered"/>
              <w:numPr>
                <w:ilvl w:val="0"/>
                <w:numId w:val="0"/>
              </w:numPr>
              <w:spacing w:before="0"/>
              <w:rPr>
                <w:b/>
                <w:bCs/>
              </w:rPr>
            </w:pPr>
          </w:p>
        </w:tc>
        <w:tc>
          <w:tcPr>
            <w:tcW w:w="2716" w:type="dxa"/>
            <w:shd w:val="clear" w:color="auto" w:fill="D9D9D9" w:themeFill="background1" w:themeFillShade="D9"/>
          </w:tcPr>
          <w:p w14:paraId="22C633A3" w14:textId="459846EB" w:rsidR="00716115" w:rsidRDefault="00716115" w:rsidP="00E27E75">
            <w:pPr>
              <w:pStyle w:val="Numbered"/>
              <w:numPr>
                <w:ilvl w:val="0"/>
                <w:numId w:val="0"/>
              </w:numPr>
              <w:spacing w:before="0"/>
              <w:rPr>
                <w:sz w:val="20"/>
                <w:szCs w:val="20"/>
              </w:rPr>
            </w:pPr>
            <w:r>
              <w:rPr>
                <w:sz w:val="20"/>
                <w:szCs w:val="20"/>
              </w:rPr>
              <w:t>+1</w:t>
            </w:r>
            <w:r w:rsidR="00F72952">
              <w:rPr>
                <w:sz w:val="20"/>
                <w:szCs w:val="20"/>
              </w:rPr>
              <w:t>.5</w:t>
            </w:r>
          </w:p>
          <w:p w14:paraId="7EE0E884" w14:textId="77777777" w:rsidR="00F72952" w:rsidRDefault="00F72952" w:rsidP="00F72952">
            <w:pPr>
              <w:pStyle w:val="Numbered"/>
              <w:numPr>
                <w:ilvl w:val="0"/>
                <w:numId w:val="0"/>
              </w:numPr>
              <w:spacing w:before="0"/>
              <w:rPr>
                <w:sz w:val="20"/>
                <w:szCs w:val="20"/>
              </w:rPr>
            </w:pPr>
            <w:r>
              <w:rPr>
                <w:sz w:val="20"/>
                <w:szCs w:val="20"/>
              </w:rPr>
              <w:t xml:space="preserve">Can access necessary expertise. </w:t>
            </w:r>
          </w:p>
          <w:p w14:paraId="2B8601FF" w14:textId="3281258D" w:rsidR="00716115" w:rsidRPr="00D17979" w:rsidRDefault="00716115" w:rsidP="00F72952">
            <w:pPr>
              <w:pStyle w:val="Numbered"/>
              <w:numPr>
                <w:ilvl w:val="0"/>
                <w:numId w:val="0"/>
              </w:numPr>
              <w:spacing w:before="0"/>
              <w:rPr>
                <w:b/>
                <w:bCs/>
              </w:rPr>
            </w:pPr>
            <w:r w:rsidRPr="007672B1">
              <w:rPr>
                <w:sz w:val="20"/>
                <w:szCs w:val="20"/>
              </w:rPr>
              <w:t>Code Arbiter</w:t>
            </w:r>
            <w:r w:rsidR="00F72952">
              <w:rPr>
                <w:sz w:val="20"/>
                <w:szCs w:val="20"/>
              </w:rPr>
              <w:t>’s costs will be funded by the regulator, but the costs will come from designated retailers. Depending on funding model, this should provide an incentive on designated retailers to reach early resolution.</w:t>
            </w:r>
          </w:p>
        </w:tc>
        <w:tc>
          <w:tcPr>
            <w:tcW w:w="2671" w:type="dxa"/>
            <w:shd w:val="clear" w:color="auto" w:fill="D9D9D9" w:themeFill="background1" w:themeFillShade="D9"/>
          </w:tcPr>
          <w:p w14:paraId="4F075DF7" w14:textId="392BC6B8" w:rsidR="00716115" w:rsidRPr="00514A59" w:rsidRDefault="00716115" w:rsidP="00E27E75">
            <w:pPr>
              <w:pStyle w:val="Numbered"/>
              <w:numPr>
                <w:ilvl w:val="0"/>
                <w:numId w:val="0"/>
              </w:numPr>
              <w:spacing w:before="0"/>
              <w:rPr>
                <w:sz w:val="20"/>
                <w:szCs w:val="20"/>
              </w:rPr>
            </w:pPr>
            <w:r w:rsidRPr="00514A59">
              <w:rPr>
                <w:sz w:val="20"/>
                <w:szCs w:val="20"/>
              </w:rPr>
              <w:t>+</w:t>
            </w:r>
            <w:r w:rsidR="003F2198">
              <w:rPr>
                <w:sz w:val="20"/>
                <w:szCs w:val="20"/>
              </w:rPr>
              <w:t>2</w:t>
            </w:r>
          </w:p>
          <w:p w14:paraId="15450931" w14:textId="5B18920C" w:rsidR="00F72952" w:rsidRDefault="00F72952" w:rsidP="00F72952">
            <w:pPr>
              <w:pStyle w:val="Numbered"/>
              <w:numPr>
                <w:ilvl w:val="0"/>
                <w:numId w:val="0"/>
              </w:numPr>
              <w:spacing w:before="0"/>
              <w:rPr>
                <w:sz w:val="20"/>
                <w:szCs w:val="20"/>
              </w:rPr>
            </w:pPr>
            <w:r>
              <w:rPr>
                <w:sz w:val="20"/>
                <w:szCs w:val="20"/>
              </w:rPr>
              <w:t xml:space="preserve">Can access necessary expertise. </w:t>
            </w:r>
          </w:p>
          <w:p w14:paraId="58A7BFB5" w14:textId="66BF339E" w:rsidR="00F72952" w:rsidRDefault="00F72952" w:rsidP="00F72952">
            <w:pPr>
              <w:pStyle w:val="Numbered"/>
              <w:numPr>
                <w:ilvl w:val="0"/>
                <w:numId w:val="0"/>
              </w:numPr>
              <w:spacing w:before="0"/>
              <w:rPr>
                <w:sz w:val="20"/>
                <w:szCs w:val="20"/>
              </w:rPr>
            </w:pPr>
            <w:r>
              <w:rPr>
                <w:sz w:val="20"/>
                <w:szCs w:val="20"/>
              </w:rPr>
              <w:t>Adjudication process should deliver prompt and sustainable results.</w:t>
            </w:r>
          </w:p>
          <w:p w14:paraId="68ACADC3" w14:textId="0D43E5F4" w:rsidR="00716115" w:rsidRPr="00D17979" w:rsidRDefault="00F72952" w:rsidP="00E556CF">
            <w:pPr>
              <w:pStyle w:val="Numbered"/>
              <w:numPr>
                <w:ilvl w:val="0"/>
                <w:numId w:val="0"/>
              </w:numPr>
              <w:spacing w:before="0"/>
              <w:rPr>
                <w:b/>
                <w:bCs/>
              </w:rPr>
            </w:pPr>
            <w:r>
              <w:rPr>
                <w:sz w:val="20"/>
                <w:szCs w:val="20"/>
              </w:rPr>
              <w:t>Rely on information sharing and regulatory functions to reduce likelihood of future conflicts.</w:t>
            </w:r>
          </w:p>
        </w:tc>
      </w:tr>
      <w:tr w:rsidR="001A03AB" w:rsidRPr="005239EF" w14:paraId="2495BF97" w14:textId="77777777" w:rsidTr="00E27E75">
        <w:tc>
          <w:tcPr>
            <w:tcW w:w="1392" w:type="dxa"/>
            <w:shd w:val="clear" w:color="auto" w:fill="D9D9D9" w:themeFill="background1" w:themeFillShade="D9"/>
          </w:tcPr>
          <w:p w14:paraId="21BA4758" w14:textId="77777777" w:rsidR="00716115" w:rsidRPr="00D17979" w:rsidRDefault="00716115" w:rsidP="00E27E75">
            <w:pPr>
              <w:pStyle w:val="Numbered"/>
              <w:numPr>
                <w:ilvl w:val="0"/>
                <w:numId w:val="0"/>
              </w:numPr>
              <w:spacing w:before="0"/>
              <w:rPr>
                <w:b/>
                <w:bCs/>
              </w:rPr>
            </w:pPr>
            <w:r>
              <w:rPr>
                <w:b/>
                <w:bCs/>
              </w:rPr>
              <w:t>Overall</w:t>
            </w:r>
          </w:p>
        </w:tc>
        <w:tc>
          <w:tcPr>
            <w:tcW w:w="2719" w:type="dxa"/>
            <w:shd w:val="clear" w:color="auto" w:fill="D9D9D9" w:themeFill="background1" w:themeFillShade="D9"/>
          </w:tcPr>
          <w:p w14:paraId="024FCDC5" w14:textId="77D60914" w:rsidR="00716115" w:rsidRDefault="00F72952" w:rsidP="00E27E75">
            <w:pPr>
              <w:pStyle w:val="Numbered"/>
              <w:numPr>
                <w:ilvl w:val="0"/>
                <w:numId w:val="0"/>
              </w:numPr>
              <w:spacing w:before="0"/>
              <w:rPr>
                <w:sz w:val="20"/>
                <w:szCs w:val="20"/>
              </w:rPr>
            </w:pPr>
            <w:r>
              <w:rPr>
                <w:sz w:val="20"/>
                <w:szCs w:val="20"/>
              </w:rPr>
              <w:t>+</w:t>
            </w:r>
            <w:r w:rsidR="00A07793">
              <w:rPr>
                <w:sz w:val="20"/>
                <w:szCs w:val="20"/>
              </w:rPr>
              <w:t>7</w:t>
            </w:r>
          </w:p>
        </w:tc>
        <w:tc>
          <w:tcPr>
            <w:tcW w:w="2716" w:type="dxa"/>
            <w:shd w:val="clear" w:color="auto" w:fill="D9D9D9" w:themeFill="background1" w:themeFillShade="D9"/>
          </w:tcPr>
          <w:p w14:paraId="4A95A707" w14:textId="2007DD89" w:rsidR="00716115" w:rsidRDefault="00E556CF" w:rsidP="00E27E75">
            <w:pPr>
              <w:pStyle w:val="Numbered"/>
              <w:numPr>
                <w:ilvl w:val="0"/>
                <w:numId w:val="0"/>
              </w:numPr>
              <w:spacing w:before="0"/>
              <w:rPr>
                <w:sz w:val="20"/>
                <w:szCs w:val="20"/>
              </w:rPr>
            </w:pPr>
            <w:r>
              <w:rPr>
                <w:sz w:val="20"/>
                <w:szCs w:val="20"/>
              </w:rPr>
              <w:t>+</w:t>
            </w:r>
            <w:r w:rsidR="00F72952">
              <w:rPr>
                <w:sz w:val="20"/>
                <w:szCs w:val="20"/>
              </w:rPr>
              <w:t>8</w:t>
            </w:r>
          </w:p>
        </w:tc>
        <w:tc>
          <w:tcPr>
            <w:tcW w:w="2671" w:type="dxa"/>
            <w:shd w:val="clear" w:color="auto" w:fill="D9D9D9" w:themeFill="background1" w:themeFillShade="D9"/>
          </w:tcPr>
          <w:p w14:paraId="6A3594AE" w14:textId="3FA16FA2" w:rsidR="00716115" w:rsidRDefault="007050AD" w:rsidP="00E27E75">
            <w:pPr>
              <w:pStyle w:val="Numbered"/>
              <w:numPr>
                <w:ilvl w:val="0"/>
                <w:numId w:val="0"/>
              </w:numPr>
              <w:spacing w:before="0"/>
              <w:rPr>
                <w:sz w:val="20"/>
                <w:szCs w:val="20"/>
              </w:rPr>
            </w:pPr>
            <w:r>
              <w:rPr>
                <w:sz w:val="20"/>
                <w:szCs w:val="20"/>
              </w:rPr>
              <w:t>+</w:t>
            </w:r>
            <w:r w:rsidR="003F2198">
              <w:rPr>
                <w:sz w:val="20"/>
                <w:szCs w:val="20"/>
              </w:rPr>
              <w:t>8</w:t>
            </w:r>
            <w:r w:rsidR="00A07793">
              <w:rPr>
                <w:sz w:val="20"/>
                <w:szCs w:val="20"/>
              </w:rPr>
              <w:t>.5</w:t>
            </w:r>
          </w:p>
        </w:tc>
      </w:tr>
    </w:tbl>
    <w:p w14:paraId="2AD8FCB8" w14:textId="55736713" w:rsidR="00FB2DC7" w:rsidRDefault="00FB2DC7" w:rsidP="00997A7E">
      <w:pPr>
        <w:pStyle w:val="Heading2"/>
        <w:tabs>
          <w:tab w:val="left" w:pos="567"/>
        </w:tabs>
      </w:pPr>
      <w:bookmarkStart w:id="228" w:name="_Toc104358687"/>
      <w:bookmarkStart w:id="229" w:name="_Toc107919667"/>
      <w:r>
        <w:t>8.8</w:t>
      </w:r>
      <w:r w:rsidR="00997A7E">
        <w:tab/>
      </w:r>
      <w:r>
        <w:t>Consultation questions</w:t>
      </w:r>
      <w:bookmarkEnd w:id="228"/>
      <w:bookmarkEnd w:id="229"/>
    </w:p>
    <w:tbl>
      <w:tblPr>
        <w:tblStyle w:val="TableGrid"/>
        <w:tblW w:w="0" w:type="auto"/>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600" w:firstRow="0" w:lastRow="0" w:firstColumn="0" w:lastColumn="0" w:noHBand="1" w:noVBand="1"/>
      </w:tblPr>
      <w:tblGrid>
        <w:gridCol w:w="531"/>
        <w:gridCol w:w="8539"/>
      </w:tblGrid>
      <w:tr w:rsidR="00FB2DC7" w:rsidRPr="00133B22" w14:paraId="0632C601" w14:textId="77777777" w:rsidTr="005509A4">
        <w:trPr>
          <w:cantSplit/>
        </w:trPr>
        <w:tc>
          <w:tcPr>
            <w:tcW w:w="531" w:type="dxa"/>
            <w:shd w:val="clear" w:color="auto" w:fill="006272"/>
            <w:vAlign w:val="center"/>
          </w:tcPr>
          <w:p w14:paraId="6163E3A0" w14:textId="77777777" w:rsidR="00FB2DC7" w:rsidRPr="00133B22" w:rsidRDefault="00FB2DC7" w:rsidP="005509A4">
            <w:pPr>
              <w:pStyle w:val="Questionnumber"/>
            </w:pPr>
          </w:p>
        </w:tc>
        <w:tc>
          <w:tcPr>
            <w:tcW w:w="8539" w:type="dxa"/>
            <w:shd w:val="clear" w:color="auto" w:fill="B3D0D5"/>
          </w:tcPr>
          <w:p w14:paraId="50206796" w14:textId="7EAC1BA0" w:rsidR="00FB2DC7" w:rsidRPr="00D76438" w:rsidRDefault="00FB2DC7" w:rsidP="005509A4">
            <w:pPr>
              <w:pStyle w:val="Question"/>
            </w:pPr>
            <w:r>
              <w:t xml:space="preserve">Do you have any comments about the current state of dispute resolution </w:t>
            </w:r>
            <w:r w:rsidR="0043352F">
              <w:t>(</w:t>
            </w:r>
            <w:r>
              <w:t>for example</w:t>
            </w:r>
            <w:r w:rsidR="0043352F">
              <w:t>,</w:t>
            </w:r>
            <w:r>
              <w:t xml:space="preserve"> the processes that are used or the nature of disputes</w:t>
            </w:r>
            <w:r w:rsidR="0043352F">
              <w:t>)</w:t>
            </w:r>
            <w:r>
              <w:t>?</w:t>
            </w:r>
          </w:p>
        </w:tc>
      </w:tr>
      <w:tr w:rsidR="00FB2DC7" w:rsidRPr="00133B22" w14:paraId="5DE5DF21" w14:textId="77777777" w:rsidTr="005509A4">
        <w:trPr>
          <w:cantSplit/>
        </w:trPr>
        <w:tc>
          <w:tcPr>
            <w:tcW w:w="531" w:type="dxa"/>
            <w:shd w:val="clear" w:color="auto" w:fill="006272"/>
            <w:vAlign w:val="center"/>
          </w:tcPr>
          <w:p w14:paraId="75C89601" w14:textId="77777777" w:rsidR="00FB2DC7" w:rsidRPr="00133B22" w:rsidRDefault="00FB2DC7" w:rsidP="005509A4">
            <w:pPr>
              <w:pStyle w:val="Questionnumber"/>
            </w:pPr>
          </w:p>
        </w:tc>
        <w:tc>
          <w:tcPr>
            <w:tcW w:w="8539" w:type="dxa"/>
            <w:shd w:val="clear" w:color="auto" w:fill="B3D0D5"/>
          </w:tcPr>
          <w:p w14:paraId="2B2FA551" w14:textId="062C4026" w:rsidR="00FB2DC7" w:rsidRDefault="00A07793" w:rsidP="005509A4">
            <w:pPr>
              <w:pStyle w:val="Question"/>
            </w:pPr>
            <w:r>
              <w:t xml:space="preserve">Do you have any comments on the particular criteria in </w:t>
            </w:r>
            <w:r w:rsidRPr="00005630">
              <w:rPr>
                <w:b/>
                <w:bCs/>
              </w:rPr>
              <w:t>Chapter 8</w:t>
            </w:r>
            <w:r>
              <w:rPr>
                <w:b/>
                <w:bCs/>
              </w:rPr>
              <w:t>.</w:t>
            </w:r>
            <w:r w:rsidRPr="00005630">
              <w:rPr>
                <w:b/>
                <w:bCs/>
              </w:rPr>
              <w:t>5</w:t>
            </w:r>
            <w:r>
              <w:t xml:space="preserve"> used to undertake the preliminary assessment of options for dispute resolution?</w:t>
            </w:r>
            <w:r w:rsidR="00FB2DC7">
              <w:t xml:space="preserve"> </w:t>
            </w:r>
          </w:p>
        </w:tc>
      </w:tr>
      <w:tr w:rsidR="00005630" w:rsidRPr="00133B22" w14:paraId="19332756" w14:textId="77777777" w:rsidTr="005509A4">
        <w:trPr>
          <w:cantSplit/>
        </w:trPr>
        <w:tc>
          <w:tcPr>
            <w:tcW w:w="531" w:type="dxa"/>
            <w:shd w:val="clear" w:color="auto" w:fill="006272"/>
            <w:vAlign w:val="center"/>
          </w:tcPr>
          <w:p w14:paraId="5317F2D5" w14:textId="77777777" w:rsidR="00005630" w:rsidRPr="00133B22" w:rsidRDefault="00005630" w:rsidP="005509A4">
            <w:pPr>
              <w:pStyle w:val="Questionnumber"/>
            </w:pPr>
          </w:p>
        </w:tc>
        <w:tc>
          <w:tcPr>
            <w:tcW w:w="8539" w:type="dxa"/>
            <w:shd w:val="clear" w:color="auto" w:fill="B3D0D5"/>
          </w:tcPr>
          <w:p w14:paraId="58CBB031" w14:textId="6AA5A295" w:rsidR="00005630" w:rsidRDefault="00A07793" w:rsidP="005509A4">
            <w:pPr>
              <w:pStyle w:val="Question"/>
            </w:pPr>
            <w:r>
              <w:t xml:space="preserve">In relation to </w:t>
            </w:r>
            <w:r>
              <w:rPr>
                <w:b/>
                <w:bCs/>
              </w:rPr>
              <w:t xml:space="preserve">Chapter 8.6 </w:t>
            </w:r>
            <w:r w:rsidRPr="00A07793">
              <w:rPr>
                <w:b/>
                <w:bCs/>
              </w:rPr>
              <w:t>The options for New Zealand</w:t>
            </w:r>
            <w:r w:rsidRPr="00635DFF">
              <w:t>, w</w:t>
            </w:r>
            <w:r>
              <w:t>hich of the three options do you think will work best, and why?</w:t>
            </w:r>
          </w:p>
        </w:tc>
      </w:tr>
      <w:tr w:rsidR="00FB2DC7" w:rsidRPr="00133B22" w14:paraId="1D076EE7" w14:textId="77777777" w:rsidTr="005509A4">
        <w:tblPrEx>
          <w:tblCellMar>
            <w:top w:w="57" w:type="dxa"/>
            <w:bottom w:w="57" w:type="dxa"/>
          </w:tblCellMar>
        </w:tblPrEx>
        <w:trPr>
          <w:cantSplit/>
          <w:trHeight w:val="286"/>
        </w:trPr>
        <w:tc>
          <w:tcPr>
            <w:tcW w:w="531" w:type="dxa"/>
            <w:shd w:val="clear" w:color="auto" w:fill="006272"/>
            <w:vAlign w:val="center"/>
          </w:tcPr>
          <w:p w14:paraId="6605EF57" w14:textId="77777777" w:rsidR="00FB2DC7" w:rsidRPr="00133B22" w:rsidRDefault="00FB2DC7" w:rsidP="005509A4">
            <w:pPr>
              <w:pStyle w:val="Questionnumber"/>
            </w:pPr>
          </w:p>
        </w:tc>
        <w:tc>
          <w:tcPr>
            <w:tcW w:w="8539" w:type="dxa"/>
            <w:shd w:val="clear" w:color="auto" w:fill="B3D0D5"/>
          </w:tcPr>
          <w:p w14:paraId="0CBBD5D8" w14:textId="5A3E20C9" w:rsidR="00FB2DC7" w:rsidRPr="00531897" w:rsidRDefault="00FB2DC7" w:rsidP="005509A4">
            <w:pPr>
              <w:pStyle w:val="Numbered"/>
              <w:numPr>
                <w:ilvl w:val="0"/>
                <w:numId w:val="0"/>
              </w:numPr>
              <w:spacing w:before="0"/>
            </w:pPr>
            <w:r>
              <w:t xml:space="preserve">Do you have any comments on the preliminary assessment of the options against the criteria in </w:t>
            </w:r>
            <w:r>
              <w:rPr>
                <w:b/>
                <w:bCs/>
              </w:rPr>
              <w:t>Chapter 8</w:t>
            </w:r>
            <w:r w:rsidRPr="00531897">
              <w:t>?</w:t>
            </w:r>
          </w:p>
        </w:tc>
      </w:tr>
    </w:tbl>
    <w:p w14:paraId="5A107860" w14:textId="77777777" w:rsidR="00AC67AF" w:rsidRDefault="00AC67AF" w:rsidP="00AC67AF">
      <w:pPr>
        <w:rPr>
          <w:rFonts w:asciiTheme="majorHAnsi" w:hAnsiTheme="majorHAnsi"/>
          <w:color w:val="006272" w:themeColor="text2"/>
          <w:sz w:val="26"/>
          <w:szCs w:val="30"/>
        </w:rPr>
      </w:pPr>
      <w:r>
        <w:br w:type="page"/>
      </w:r>
    </w:p>
    <w:p w14:paraId="25AC71F0" w14:textId="24AB910C" w:rsidR="00613281" w:rsidRDefault="004A207D" w:rsidP="00613281">
      <w:pPr>
        <w:pStyle w:val="Heading1"/>
      </w:pPr>
      <w:bookmarkStart w:id="230" w:name="_Toc103173724"/>
      <w:bookmarkStart w:id="231" w:name="_Toc104358688"/>
      <w:bookmarkStart w:id="232" w:name="_Toc107919668"/>
      <w:r>
        <w:lastRenderedPageBreak/>
        <w:t>M</w:t>
      </w:r>
      <w:r w:rsidR="00DE3529">
        <w:t>onitoring</w:t>
      </w:r>
      <w:r w:rsidR="00502DAB">
        <w:t xml:space="preserve">, </w:t>
      </w:r>
      <w:r w:rsidR="00997A7E">
        <w:t>compliance</w:t>
      </w:r>
      <w:r w:rsidR="00DE3529">
        <w:t xml:space="preserve"> and enforcement</w:t>
      </w:r>
      <w:bookmarkEnd w:id="230"/>
      <w:bookmarkEnd w:id="231"/>
      <w:bookmarkEnd w:id="232"/>
    </w:p>
    <w:p w14:paraId="639BC18E" w14:textId="77777777" w:rsidR="00613281" w:rsidRDefault="00613281" w:rsidP="00613281">
      <w:pPr>
        <w:pStyle w:val="LineTeal"/>
      </w:pPr>
    </w:p>
    <w:p w14:paraId="35F0DE51" w14:textId="3CDBA5D5" w:rsidR="00675AC5" w:rsidRDefault="000C40CB" w:rsidP="004735A2">
      <w:pPr>
        <w:pStyle w:val="Heading2"/>
        <w:tabs>
          <w:tab w:val="left" w:pos="567"/>
        </w:tabs>
      </w:pPr>
      <w:bookmarkStart w:id="233" w:name="_Toc103173725"/>
      <w:bookmarkStart w:id="234" w:name="_Toc104358689"/>
      <w:bookmarkStart w:id="235" w:name="_Toc107919669"/>
      <w:r>
        <w:t>9.1</w:t>
      </w:r>
      <w:r w:rsidR="004735A2">
        <w:tab/>
      </w:r>
      <w:r w:rsidR="00D35EE8">
        <w:t>Approach to this issue</w:t>
      </w:r>
      <w:bookmarkEnd w:id="233"/>
      <w:bookmarkEnd w:id="234"/>
      <w:bookmarkEnd w:id="235"/>
    </w:p>
    <w:p w14:paraId="548738CD" w14:textId="4F220CFC" w:rsidR="00637FEC" w:rsidRDefault="00637FEC" w:rsidP="00531EDF">
      <w:pPr>
        <w:pStyle w:val="Numbered"/>
      </w:pPr>
      <w:r>
        <w:t xml:space="preserve">Any mandatory Code will be </w:t>
      </w:r>
      <w:r w:rsidR="00173630">
        <w:t>a</w:t>
      </w:r>
      <w:r>
        <w:t xml:space="preserve"> form of regulation that will need a regulator</w:t>
      </w:r>
      <w:r w:rsidR="006663D6">
        <w:t xml:space="preserve"> to monitor and enforce it</w:t>
      </w:r>
      <w:r w:rsidR="00531EDF">
        <w:t>.</w:t>
      </w:r>
      <w:r>
        <w:t xml:space="preserve"> This chapter focuses on the regulatory functions of</w:t>
      </w:r>
      <w:r w:rsidR="0092010D">
        <w:t xml:space="preserve"> </w:t>
      </w:r>
      <w:r w:rsidR="00173630">
        <w:t>monitoring, compliance and</w:t>
      </w:r>
      <w:r>
        <w:t xml:space="preserve"> enforcement, but not ‘who’ the regulator will be</w:t>
      </w:r>
      <w:r w:rsidR="000C40CB">
        <w:t xml:space="preserve"> (this is being considered separately)</w:t>
      </w:r>
      <w:r>
        <w:t xml:space="preserve">. </w:t>
      </w:r>
    </w:p>
    <w:p w14:paraId="79EFEC68" w14:textId="7EBF4C1C" w:rsidR="0092010D" w:rsidRDefault="0092010D" w:rsidP="0092010D">
      <w:pPr>
        <w:pStyle w:val="Numbered"/>
        <w:numPr>
          <w:ilvl w:val="1"/>
          <w:numId w:val="1"/>
        </w:numPr>
      </w:pPr>
      <w:r>
        <w:t xml:space="preserve">Monitoring functions include collecting regular performance information. </w:t>
      </w:r>
    </w:p>
    <w:p w14:paraId="6C54023E" w14:textId="3548D86B" w:rsidR="00173630" w:rsidRDefault="00173630" w:rsidP="0092010D">
      <w:pPr>
        <w:pStyle w:val="Numbered"/>
        <w:numPr>
          <w:ilvl w:val="1"/>
          <w:numId w:val="1"/>
        </w:numPr>
      </w:pPr>
      <w:r>
        <w:t xml:space="preserve">Compliance relates to any duties/obligations to adhere to the Code as regulation, including requiring </w:t>
      </w:r>
      <w:r w:rsidR="00D902B7">
        <w:t xml:space="preserve">designated </w:t>
      </w:r>
      <w:r>
        <w:t>retailers to keep records and provide that information to the regulator (this is important for a</w:t>
      </w:r>
      <w:r w:rsidR="00712632">
        <w:t>n effective</w:t>
      </w:r>
      <w:r>
        <w:t xml:space="preserve"> monitoring function).</w:t>
      </w:r>
    </w:p>
    <w:p w14:paraId="51B09561" w14:textId="3DEEF9F3" w:rsidR="00173630" w:rsidRDefault="00173630" w:rsidP="0092010D">
      <w:pPr>
        <w:pStyle w:val="Numbered"/>
        <w:numPr>
          <w:ilvl w:val="1"/>
          <w:numId w:val="1"/>
        </w:numPr>
      </w:pPr>
      <w:r>
        <w:t xml:space="preserve">Enforcement functions are </w:t>
      </w:r>
      <w:r w:rsidR="00712632">
        <w:t xml:space="preserve">required </w:t>
      </w:r>
      <w:r>
        <w:t xml:space="preserve">to address instances where there is non-compliance with the Code, </w:t>
      </w:r>
      <w:r w:rsidR="00712632">
        <w:t>including</w:t>
      </w:r>
      <w:r>
        <w:t xml:space="preserve"> action</w:t>
      </w:r>
      <w:r w:rsidR="00712632">
        <w:t>s</w:t>
      </w:r>
      <w:r>
        <w:t xml:space="preserve"> </w:t>
      </w:r>
      <w:r w:rsidR="00712632">
        <w:t>that</w:t>
      </w:r>
      <w:r>
        <w:t xml:space="preserve"> may </w:t>
      </w:r>
      <w:r w:rsidR="00712632">
        <w:t xml:space="preserve">need to </w:t>
      </w:r>
      <w:r>
        <w:t xml:space="preserve">be </w:t>
      </w:r>
      <w:r w:rsidR="00712632">
        <w:t>taken</w:t>
      </w:r>
      <w:r>
        <w:t xml:space="preserve"> by the regulator. This is different to dispute resolution. </w:t>
      </w:r>
    </w:p>
    <w:p w14:paraId="05B685B4" w14:textId="2E0BEE9D" w:rsidR="00502DAB" w:rsidRDefault="00502DAB" w:rsidP="00502DAB">
      <w:pPr>
        <w:pStyle w:val="Numbered"/>
      </w:pPr>
      <w:r>
        <w:t xml:space="preserve">We are seeking feedback on the Australian and UK approaches to inform the design of these functions in a </w:t>
      </w:r>
      <w:r w:rsidR="000C40CB">
        <w:t>New Zealand</w:t>
      </w:r>
      <w:r>
        <w:t xml:space="preserve"> Code.</w:t>
      </w:r>
    </w:p>
    <w:p w14:paraId="6786006A" w14:textId="3D9B79EB" w:rsidR="000C40CB" w:rsidRDefault="000C40CB" w:rsidP="004735A2">
      <w:pPr>
        <w:pStyle w:val="Heading2"/>
        <w:tabs>
          <w:tab w:val="left" w:pos="567"/>
        </w:tabs>
      </w:pPr>
      <w:bookmarkStart w:id="236" w:name="_Toc103173726"/>
      <w:bookmarkStart w:id="237" w:name="_Toc104358690"/>
      <w:bookmarkStart w:id="238" w:name="_Toc107919670"/>
      <w:r>
        <w:t>9.2</w:t>
      </w:r>
      <w:r w:rsidR="004735A2">
        <w:tab/>
      </w:r>
      <w:r>
        <w:t>Monitoring, compliance, and enforcement</w:t>
      </w:r>
      <w:bookmarkEnd w:id="236"/>
      <w:bookmarkEnd w:id="237"/>
      <w:bookmarkEnd w:id="238"/>
      <w:r>
        <w:t xml:space="preserve"> </w:t>
      </w:r>
    </w:p>
    <w:p w14:paraId="1ACACC62" w14:textId="77777777" w:rsidR="000C40CB" w:rsidRPr="00574201" w:rsidRDefault="000C40CB" w:rsidP="000C40CB">
      <w:pPr>
        <w:pStyle w:val="Numbered"/>
        <w:numPr>
          <w:ilvl w:val="0"/>
          <w:numId w:val="0"/>
        </w:numPr>
        <w:rPr>
          <w:b/>
          <w:bCs/>
        </w:rPr>
      </w:pPr>
      <w:r>
        <w:rPr>
          <w:b/>
          <w:bCs/>
        </w:rPr>
        <w:t>Monitoring and reporting functions</w:t>
      </w:r>
    </w:p>
    <w:p w14:paraId="710F9853" w14:textId="13F7B932" w:rsidR="000C40CB" w:rsidRDefault="000C40CB" w:rsidP="000C40CB">
      <w:pPr>
        <w:pStyle w:val="Numbered"/>
      </w:pPr>
      <w:r>
        <w:t>The regulator needs a monitoring function to understand whether a Code is operating effectively and to provide the necessary information base to direct efforts to improve adherence to the Code</w:t>
      </w:r>
      <w:r w:rsidR="00712632">
        <w:t>,</w:t>
      </w:r>
      <w:r>
        <w:t xml:space="preserve"> such as through </w:t>
      </w:r>
      <w:r w:rsidR="00712632">
        <w:t xml:space="preserve">issuing </w:t>
      </w:r>
      <w:r>
        <w:t>guidance or education</w:t>
      </w:r>
      <w:r w:rsidR="00712632">
        <w:t xml:space="preserve"> initiatives</w:t>
      </w:r>
      <w:r>
        <w:t xml:space="preserve">. </w:t>
      </w:r>
    </w:p>
    <w:p w14:paraId="7E53A85A" w14:textId="218870E8" w:rsidR="000C40CB" w:rsidRDefault="000C40CB" w:rsidP="000C40CB">
      <w:pPr>
        <w:pStyle w:val="Numbered"/>
      </w:pPr>
      <w:r>
        <w:t>Not all monitoring functions have to be in regulations. The UK</w:t>
      </w:r>
      <w:r w:rsidR="00EF3538">
        <w:t>’s</w:t>
      </w:r>
      <w:r>
        <w:t xml:space="preserve"> GCA </w:t>
      </w:r>
      <w:r w:rsidR="00EF3538">
        <w:t xml:space="preserve">voluntarily </w:t>
      </w:r>
      <w:r>
        <w:t>undertakes regular supplier surveys to gather data on whether suppliers think retailers are complying with the Code.</w:t>
      </w:r>
      <w:r>
        <w:rPr>
          <w:rStyle w:val="FootnoteReference"/>
        </w:rPr>
        <w:footnoteReference w:id="49"/>
      </w:r>
      <w:r>
        <w:t xml:space="preserve"> By comparison, the Australian Independent Reviewer is required to conduct an annual survey of suppliers and retailers to identify issues arising with the Code and to assess ‘systemic compliance’ with the Code (section 37F</w:t>
      </w:r>
      <w:r w:rsidR="00EF3538">
        <w:t xml:space="preserve"> of the Code</w:t>
      </w:r>
      <w:r>
        <w:t>). This is a relatively new obligation, and the first survey of suppliers was conducted in late 2021.</w:t>
      </w:r>
      <w:r>
        <w:rPr>
          <w:rStyle w:val="FootnoteReference"/>
        </w:rPr>
        <w:footnoteReference w:id="50"/>
      </w:r>
    </w:p>
    <w:p w14:paraId="6A6E7CCE" w14:textId="77777777" w:rsidR="000C40CB" w:rsidRDefault="000C40CB" w:rsidP="000C40CB">
      <w:pPr>
        <w:pStyle w:val="Numbered"/>
      </w:pPr>
      <w:r>
        <w:lastRenderedPageBreak/>
        <w:t>The UK and Australia both have annual reporting obligations, and they include a summary of the findings of surveys and other monitoring in the annual reports.</w:t>
      </w:r>
      <w:r>
        <w:rPr>
          <w:rStyle w:val="FootnoteReference"/>
        </w:rPr>
        <w:footnoteReference w:id="51"/>
      </w:r>
    </w:p>
    <w:p w14:paraId="2BB6CB45" w14:textId="58D82DE3" w:rsidR="000C40CB" w:rsidRPr="00BD605C" w:rsidRDefault="000C40CB" w:rsidP="000C40CB">
      <w:pPr>
        <w:pStyle w:val="Numbered"/>
      </w:pPr>
      <w:r w:rsidRPr="00BD605C">
        <w:t>When the UK Groceries Code was first implemented</w:t>
      </w:r>
      <w:r w:rsidR="00A01045">
        <w:t xml:space="preserve"> in 2010</w:t>
      </w:r>
      <w:r w:rsidRPr="00BD605C">
        <w:t>, 79% of suppliers indicated</w:t>
      </w:r>
      <w:r w:rsidR="00BD605C" w:rsidRPr="00BD605C">
        <w:t xml:space="preserve"> in annual surveys that</w:t>
      </w:r>
      <w:r w:rsidRPr="00BD605C">
        <w:t xml:space="preserve"> they experienced some form of Code-related issue</w:t>
      </w:r>
      <w:r w:rsidR="00A01045">
        <w:t>.</w:t>
      </w:r>
      <w:r w:rsidRPr="00BD605C">
        <w:t xml:space="preserve"> </w:t>
      </w:r>
      <w:r w:rsidR="00A01045">
        <w:t>In the 2021 survey,</w:t>
      </w:r>
      <w:r w:rsidRPr="00BD605C">
        <w:t xml:space="preserve"> </w:t>
      </w:r>
      <w:r w:rsidR="00A01045">
        <w:t xml:space="preserve">this </w:t>
      </w:r>
      <w:r w:rsidRPr="00BD605C">
        <w:t>has decreased to 29%.</w:t>
      </w:r>
      <w:r w:rsidR="00BD605C">
        <w:t xml:space="preserve"> This </w:t>
      </w:r>
      <w:r w:rsidR="00A01045">
        <w:t>indicates</w:t>
      </w:r>
      <w:r w:rsidR="00BD605C">
        <w:t xml:space="preserve"> that improved adherence to the Code can be achieved through a combination of </w:t>
      </w:r>
      <w:r w:rsidR="005D6EF0">
        <w:t xml:space="preserve">engagement </w:t>
      </w:r>
      <w:r w:rsidR="00456A9E">
        <w:t>through</w:t>
      </w:r>
      <w:r w:rsidR="005D6EF0">
        <w:t xml:space="preserve"> education and enforcement activity.</w:t>
      </w:r>
    </w:p>
    <w:p w14:paraId="1EA0E724" w14:textId="77777777" w:rsidR="000C40CB" w:rsidRDefault="000C40CB" w:rsidP="000C40CB">
      <w:pPr>
        <w:pStyle w:val="Numbered"/>
        <w:numPr>
          <w:ilvl w:val="0"/>
          <w:numId w:val="0"/>
        </w:numPr>
        <w:ind w:left="567" w:hanging="567"/>
      </w:pPr>
      <w:r>
        <w:rPr>
          <w:b/>
          <w:bCs/>
        </w:rPr>
        <w:t>Information sharing if the regulator and dispute resolution scheme provider are separate</w:t>
      </w:r>
    </w:p>
    <w:p w14:paraId="45168368" w14:textId="48E48EB4" w:rsidR="000C40CB" w:rsidRPr="00BD605C" w:rsidRDefault="00BD605C" w:rsidP="000C40CB">
      <w:pPr>
        <w:pStyle w:val="Numbered"/>
      </w:pPr>
      <w:r w:rsidRPr="00BD605C">
        <w:t xml:space="preserve">It is possible that the regulator and dispute resolution scheme </w:t>
      </w:r>
      <w:r w:rsidR="00456A9E">
        <w:t xml:space="preserve">will </w:t>
      </w:r>
      <w:r w:rsidRPr="00BD605C">
        <w:t xml:space="preserve">be </w:t>
      </w:r>
      <w:r w:rsidR="00456A9E">
        <w:t>different entities</w:t>
      </w:r>
      <w:r w:rsidRPr="00BD605C">
        <w:t xml:space="preserve">. If this is the case, there will need to be information sharing provisions to ensure the regulator is appropriately aware of any issues raised </w:t>
      </w:r>
      <w:r w:rsidR="00D902B7">
        <w:t>in</w:t>
      </w:r>
      <w:r w:rsidRPr="00BD605C">
        <w:t xml:space="preserve"> dispute resolution. This will allow the regulator to target any education campaigns </w:t>
      </w:r>
      <w:r w:rsidR="001F0770">
        <w:t>mo</w:t>
      </w:r>
      <w:r w:rsidR="00456A9E">
        <w:t>re</w:t>
      </w:r>
      <w:r w:rsidR="001F0770">
        <w:t xml:space="preserve"> effectively </w:t>
      </w:r>
      <w:r w:rsidRPr="00BD605C">
        <w:t xml:space="preserve">or to develop guidance to improve conduct </w:t>
      </w:r>
      <w:r w:rsidR="00456A9E">
        <w:t xml:space="preserve">and compliance </w:t>
      </w:r>
      <w:r w:rsidRPr="00BD605C">
        <w:t>in the industry.</w:t>
      </w:r>
    </w:p>
    <w:p w14:paraId="58E05EFC" w14:textId="77777777" w:rsidR="000C40CB" w:rsidRPr="00126CD2" w:rsidRDefault="000C40CB" w:rsidP="000C40CB">
      <w:pPr>
        <w:pStyle w:val="Numbered"/>
        <w:numPr>
          <w:ilvl w:val="0"/>
          <w:numId w:val="0"/>
        </w:numPr>
        <w:rPr>
          <w:b/>
          <w:bCs/>
        </w:rPr>
      </w:pPr>
      <w:r w:rsidRPr="00126CD2">
        <w:rPr>
          <w:b/>
          <w:bCs/>
        </w:rPr>
        <w:t>Compliance duty on designated retailers</w:t>
      </w:r>
    </w:p>
    <w:p w14:paraId="32A8C556" w14:textId="03437DEA" w:rsidR="000C40CB" w:rsidRPr="00126CD2" w:rsidRDefault="000C40CB" w:rsidP="000C40CB">
      <w:pPr>
        <w:pStyle w:val="Numbered"/>
      </w:pPr>
      <w:r>
        <w:t xml:space="preserve">The Code could specify some detailed compliance requirements on retailers such as an obligation to </w:t>
      </w:r>
      <w:r w:rsidRPr="00126CD2">
        <w:t xml:space="preserve">train their staff </w:t>
      </w:r>
      <w:r w:rsidR="00520FF9">
        <w:t>on</w:t>
      </w:r>
      <w:r w:rsidRPr="00126CD2">
        <w:t xml:space="preserve"> the </w:t>
      </w:r>
      <w:r w:rsidR="00520FF9">
        <w:t xml:space="preserve">requirements of the </w:t>
      </w:r>
      <w:r w:rsidRPr="00126CD2">
        <w:t xml:space="preserve">Code. </w:t>
      </w:r>
      <w:r>
        <w:t xml:space="preserve">Any compliance requirements would be targeted to improve adherence to the Code with benefits </w:t>
      </w:r>
      <w:r w:rsidR="00520FF9">
        <w:t xml:space="preserve">accruing </w:t>
      </w:r>
      <w:r>
        <w:t xml:space="preserve">to all parties. However, additional compliance obligations can </w:t>
      </w:r>
      <w:r w:rsidRPr="00126CD2">
        <w:t>add administrative costs</w:t>
      </w:r>
      <w:r>
        <w:t>, primarily to retailers.</w:t>
      </w:r>
    </w:p>
    <w:p w14:paraId="0FA73B47" w14:textId="1E9BF0B9" w:rsidR="000C40CB" w:rsidRPr="00126CD2" w:rsidRDefault="000C40CB" w:rsidP="000C40CB">
      <w:pPr>
        <w:pStyle w:val="Numbered"/>
      </w:pPr>
      <w:r w:rsidRPr="00126CD2">
        <w:t xml:space="preserve">The Australian and UK Codes each have </w:t>
      </w:r>
      <w:r>
        <w:t xml:space="preserve">very similar </w:t>
      </w:r>
      <w:r w:rsidRPr="00126CD2">
        <w:t xml:space="preserve">provisions </w:t>
      </w:r>
      <w:r w:rsidR="00520FF9">
        <w:t xml:space="preserve">which </w:t>
      </w:r>
      <w:r w:rsidRPr="00126CD2">
        <w:t>plac</w:t>
      </w:r>
      <w:r w:rsidR="00520FF9">
        <w:t>e</w:t>
      </w:r>
      <w:r w:rsidRPr="00126CD2">
        <w:t xml:space="preserve"> some f</w:t>
      </w:r>
      <w:r>
        <w:t>or</w:t>
      </w:r>
      <w:r w:rsidRPr="00126CD2">
        <w:t xml:space="preserve">m of compliance duty on retailers. </w:t>
      </w:r>
    </w:p>
    <w:tbl>
      <w:tblPr>
        <w:tblStyle w:val="TableGrid"/>
        <w:tblW w:w="0" w:type="auto"/>
        <w:tblLook w:val="04A0" w:firstRow="1" w:lastRow="0" w:firstColumn="1" w:lastColumn="0" w:noHBand="0" w:noVBand="1"/>
      </w:tblPr>
      <w:tblGrid>
        <w:gridCol w:w="9060"/>
      </w:tblGrid>
      <w:tr w:rsidR="000C40CB" w14:paraId="1C5623A9" w14:textId="77777777" w:rsidTr="00AA1652">
        <w:tc>
          <w:tcPr>
            <w:tcW w:w="9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D99CDC4" w14:textId="77777777" w:rsidR="000C40CB" w:rsidRPr="00A10608" w:rsidRDefault="000C40CB" w:rsidP="00A0540D">
            <w:pPr>
              <w:pStyle w:val="Numbered"/>
              <w:numPr>
                <w:ilvl w:val="0"/>
                <w:numId w:val="0"/>
              </w:numPr>
              <w:spacing w:before="0"/>
              <w:rPr>
                <w:b/>
                <w:bCs/>
              </w:rPr>
            </w:pPr>
            <w:r w:rsidRPr="00126CD2">
              <w:rPr>
                <w:b/>
                <w:bCs/>
              </w:rPr>
              <w:t>The UK Code</w:t>
            </w:r>
            <w:r>
              <w:rPr>
                <w:b/>
                <w:bCs/>
              </w:rPr>
              <w:t xml:space="preserve"> - </w:t>
            </w:r>
            <w:r w:rsidRPr="00A10608">
              <w:rPr>
                <w:b/>
                <w:bCs/>
              </w:rPr>
              <w:t>Compliance duties (UK Order, articles 8 &amp; 9)</w:t>
            </w:r>
          </w:p>
          <w:p w14:paraId="307789CF" w14:textId="77777777" w:rsidR="000C40CB" w:rsidRDefault="000C40CB" w:rsidP="009D5CE5">
            <w:pPr>
              <w:pStyle w:val="Numbered"/>
              <w:numPr>
                <w:ilvl w:val="0"/>
                <w:numId w:val="8"/>
              </w:numPr>
              <w:spacing w:before="0"/>
            </w:pPr>
            <w:r>
              <w:t>Requirement to appoint staff to functions for dispute resolution</w:t>
            </w:r>
          </w:p>
          <w:p w14:paraId="74EE871D" w14:textId="77777777" w:rsidR="000C40CB" w:rsidRDefault="000C40CB" w:rsidP="009D5CE5">
            <w:pPr>
              <w:pStyle w:val="Numbered"/>
              <w:numPr>
                <w:ilvl w:val="0"/>
                <w:numId w:val="8"/>
              </w:numPr>
              <w:spacing w:before="0"/>
            </w:pPr>
            <w:r>
              <w:t>Requirement to train staff to comply with the Code</w:t>
            </w:r>
          </w:p>
          <w:p w14:paraId="239910EE" w14:textId="5F6E9F01" w:rsidR="000C40CB" w:rsidRDefault="000C40CB" w:rsidP="009D5CE5">
            <w:pPr>
              <w:pStyle w:val="Numbered"/>
              <w:numPr>
                <w:ilvl w:val="0"/>
                <w:numId w:val="8"/>
              </w:numPr>
              <w:spacing w:before="0"/>
            </w:pPr>
            <w:r>
              <w:t xml:space="preserve">Requirement to report on compliance with the Code (links to monitoring </w:t>
            </w:r>
            <w:r w:rsidR="00520FF9">
              <w:t>and</w:t>
            </w:r>
            <w:r>
              <w:t xml:space="preserve"> enforcement chapter).</w:t>
            </w:r>
          </w:p>
          <w:p w14:paraId="422B519A" w14:textId="77777777" w:rsidR="000C40CB" w:rsidRPr="00A10608" w:rsidRDefault="000C40CB" w:rsidP="00A0540D">
            <w:pPr>
              <w:pStyle w:val="Numbered"/>
              <w:numPr>
                <w:ilvl w:val="0"/>
                <w:numId w:val="0"/>
              </w:numPr>
              <w:rPr>
                <w:b/>
                <w:bCs/>
              </w:rPr>
            </w:pPr>
            <w:r w:rsidRPr="00126CD2">
              <w:rPr>
                <w:b/>
                <w:bCs/>
              </w:rPr>
              <w:t xml:space="preserve">The </w:t>
            </w:r>
            <w:r>
              <w:rPr>
                <w:b/>
                <w:bCs/>
              </w:rPr>
              <w:t>Australian</w:t>
            </w:r>
            <w:r w:rsidRPr="00126CD2">
              <w:rPr>
                <w:b/>
                <w:bCs/>
              </w:rPr>
              <w:t xml:space="preserve"> Code</w:t>
            </w:r>
            <w:r>
              <w:rPr>
                <w:b/>
                <w:bCs/>
              </w:rPr>
              <w:t xml:space="preserve"> - </w:t>
            </w:r>
            <w:r w:rsidRPr="00A10608">
              <w:rPr>
                <w:b/>
                <w:bCs/>
              </w:rPr>
              <w:t>Compliance duties (section 40 and 42)</w:t>
            </w:r>
          </w:p>
          <w:p w14:paraId="12E6644E" w14:textId="77777777" w:rsidR="000C40CB" w:rsidRDefault="000C40CB" w:rsidP="009D5CE5">
            <w:pPr>
              <w:pStyle w:val="Numbered"/>
              <w:numPr>
                <w:ilvl w:val="0"/>
                <w:numId w:val="8"/>
              </w:numPr>
              <w:spacing w:before="0"/>
            </w:pPr>
            <w:r>
              <w:t>Requirement to appoint staff to functions for dispute resolution</w:t>
            </w:r>
          </w:p>
          <w:p w14:paraId="2BA2B245" w14:textId="77777777" w:rsidR="000C40CB" w:rsidRDefault="000C40CB" w:rsidP="009D5CE5">
            <w:pPr>
              <w:pStyle w:val="Numbered"/>
              <w:numPr>
                <w:ilvl w:val="0"/>
                <w:numId w:val="8"/>
              </w:numPr>
              <w:spacing w:before="0"/>
            </w:pPr>
            <w:r>
              <w:t>Requirement to train staff to comply with the Code</w:t>
            </w:r>
          </w:p>
          <w:p w14:paraId="0E20D348" w14:textId="31D6D33D" w:rsidR="000C40CB" w:rsidRDefault="000C40CB" w:rsidP="004C04F5">
            <w:pPr>
              <w:pStyle w:val="Numbered"/>
              <w:numPr>
                <w:ilvl w:val="0"/>
                <w:numId w:val="0"/>
              </w:numPr>
              <w:spacing w:before="0"/>
              <w:ind w:left="567" w:hanging="567"/>
            </w:pPr>
            <w:r>
              <w:t>Requirement to keep records of activity in relation to the Code.</w:t>
            </w:r>
          </w:p>
        </w:tc>
      </w:tr>
    </w:tbl>
    <w:p w14:paraId="7E792924" w14:textId="643CC7E6" w:rsidR="00AA1652" w:rsidRPr="00AA1652" w:rsidRDefault="00AA1652" w:rsidP="00AA1652">
      <w:pPr>
        <w:pStyle w:val="Numbered"/>
        <w:numPr>
          <w:ilvl w:val="0"/>
          <w:numId w:val="0"/>
        </w:numPr>
        <w:rPr>
          <w:b/>
          <w:bCs/>
        </w:rPr>
      </w:pPr>
      <w:r>
        <w:rPr>
          <w:b/>
          <w:bCs/>
        </w:rPr>
        <w:t>Possible c</w:t>
      </w:r>
      <w:r w:rsidRPr="00AA1652">
        <w:rPr>
          <w:b/>
          <w:bCs/>
        </w:rPr>
        <w:t xml:space="preserve">ompliance </w:t>
      </w:r>
      <w:r>
        <w:rPr>
          <w:b/>
          <w:bCs/>
        </w:rPr>
        <w:t>costs</w:t>
      </w:r>
    </w:p>
    <w:p w14:paraId="3D767778" w14:textId="4AC68DE0" w:rsidR="00AF3F4F" w:rsidRPr="00845B70" w:rsidRDefault="00AF3F4F" w:rsidP="00AA1652">
      <w:pPr>
        <w:pStyle w:val="Numbered"/>
      </w:pPr>
      <w:r w:rsidRPr="00077116">
        <w:t>The compliance costs of the UK Code were estimated as part of its development (in around 200</w:t>
      </w:r>
      <w:r w:rsidR="00077116" w:rsidRPr="00077116">
        <w:t>8</w:t>
      </w:r>
      <w:r w:rsidRPr="00077116">
        <w:t xml:space="preserve">). </w:t>
      </w:r>
      <w:r w:rsidR="00077116" w:rsidRPr="00077116">
        <w:t xml:space="preserve">It estimated that each designated retailer would incur compliance costs of </w:t>
      </w:r>
      <w:r w:rsidR="00077116" w:rsidRPr="00077116">
        <w:lastRenderedPageBreak/>
        <w:t xml:space="preserve">approximately </w:t>
      </w:r>
      <w:r w:rsidRPr="00077116">
        <w:rPr>
          <w:rFonts w:cstheme="minorHAnsi"/>
        </w:rPr>
        <w:t>£</w:t>
      </w:r>
      <w:r w:rsidR="00077116" w:rsidRPr="00077116">
        <w:t xml:space="preserve">290,000 a year factoring in costs associated with disputes, complaints and </w:t>
      </w:r>
      <w:r w:rsidR="00077116" w:rsidRPr="00845B70">
        <w:t xml:space="preserve">queries (costs of </w:t>
      </w:r>
      <w:r w:rsidR="00077116" w:rsidRPr="00845B70">
        <w:rPr>
          <w:rFonts w:cstheme="minorHAnsi"/>
        </w:rPr>
        <w:t>£</w:t>
      </w:r>
      <w:r w:rsidR="00077116" w:rsidRPr="00845B70">
        <w:t>135,000 excluding the disputes, complaints and queries).</w:t>
      </w:r>
      <w:r w:rsidR="00077116" w:rsidRPr="00845B70">
        <w:rPr>
          <w:rStyle w:val="FootnoteReference"/>
        </w:rPr>
        <w:footnoteReference w:id="52"/>
      </w:r>
      <w:r w:rsidR="00077116" w:rsidRPr="00845B70">
        <w:t xml:space="preserve"> </w:t>
      </w:r>
    </w:p>
    <w:p w14:paraId="7259DBEE" w14:textId="1D9A82CA" w:rsidR="00AA1652" w:rsidRPr="00845B70" w:rsidRDefault="00AF3F4F" w:rsidP="00AF3F4F">
      <w:pPr>
        <w:pStyle w:val="Numbered"/>
      </w:pPr>
      <w:r w:rsidRPr="00845B70">
        <w:t>We are interested in the expected compliance costs from the proposals for the NZ Code, and would welcome any comments in response to question 33, below.</w:t>
      </w:r>
    </w:p>
    <w:p w14:paraId="2FA2CE35" w14:textId="0BD7D6D8" w:rsidR="000C40CB" w:rsidRPr="00B910FD" w:rsidRDefault="00092624" w:rsidP="000C40CB">
      <w:pPr>
        <w:pStyle w:val="Numbered"/>
        <w:numPr>
          <w:ilvl w:val="0"/>
          <w:numId w:val="0"/>
        </w:numPr>
        <w:rPr>
          <w:b/>
          <w:bCs/>
        </w:rPr>
      </w:pPr>
      <w:r>
        <w:rPr>
          <w:b/>
          <w:bCs/>
        </w:rPr>
        <w:t>E</w:t>
      </w:r>
      <w:r w:rsidR="000C40CB" w:rsidRPr="00B910FD">
        <w:rPr>
          <w:b/>
          <w:bCs/>
        </w:rPr>
        <w:t xml:space="preserve">nforcement functions </w:t>
      </w:r>
      <w:r w:rsidR="000C40CB">
        <w:rPr>
          <w:b/>
          <w:bCs/>
        </w:rPr>
        <w:t>for the regulator</w:t>
      </w:r>
    </w:p>
    <w:p w14:paraId="13CD897E" w14:textId="0D63DE34" w:rsidR="000C40CB" w:rsidRDefault="000C40CB" w:rsidP="000C40CB">
      <w:pPr>
        <w:pStyle w:val="Numbered"/>
      </w:pPr>
      <w:r>
        <w:t xml:space="preserve">As </w:t>
      </w:r>
      <w:r w:rsidR="005D6EF0">
        <w:t xml:space="preserve">set out </w:t>
      </w:r>
      <w:r>
        <w:t>earlier, the regulator needs enforcement powers in relation to the Code</w:t>
      </w:r>
      <w:r w:rsidR="00092624">
        <w:t xml:space="preserve">, along with </w:t>
      </w:r>
      <w:r>
        <w:t xml:space="preserve">appropriate safeguards </w:t>
      </w:r>
      <w:r w:rsidR="00FB5EDE">
        <w:t xml:space="preserve">in place </w:t>
      </w:r>
      <w:r>
        <w:t xml:space="preserve">to avoid the misuse of </w:t>
      </w:r>
      <w:r w:rsidR="00092624">
        <w:t xml:space="preserve">any such </w:t>
      </w:r>
      <w:r w:rsidR="00FB5EDE">
        <w:t>powers</w:t>
      </w:r>
      <w:r>
        <w:t xml:space="preserve">. </w:t>
      </w:r>
    </w:p>
    <w:p w14:paraId="4F207021" w14:textId="4B502411" w:rsidR="000C40CB" w:rsidRDefault="000C40CB" w:rsidP="000C40CB">
      <w:pPr>
        <w:pStyle w:val="Numbered"/>
      </w:pPr>
      <w:r>
        <w:t xml:space="preserve">The benefit of this is more confidence in the Code </w:t>
      </w:r>
      <w:r w:rsidR="00FB5EDE">
        <w:t>by</w:t>
      </w:r>
      <w:r>
        <w:t xml:space="preserve"> all parties, a deterrent to non-compliance (the threat of action), and the ability to take action for non-compliance with the Code. All parties benefit from this</w:t>
      </w:r>
      <w:r w:rsidR="005D6EF0">
        <w:t>,</w:t>
      </w:r>
      <w:r>
        <w:t xml:space="preserve"> for example:</w:t>
      </w:r>
    </w:p>
    <w:p w14:paraId="2A7A7529" w14:textId="5D93E7C7" w:rsidR="000C40CB" w:rsidRDefault="00AA1652" w:rsidP="000C40CB">
      <w:pPr>
        <w:pStyle w:val="Numbered"/>
        <w:numPr>
          <w:ilvl w:val="1"/>
          <w:numId w:val="1"/>
        </w:numPr>
      </w:pPr>
      <w:r>
        <w:t xml:space="preserve">designated </w:t>
      </w:r>
      <w:r w:rsidR="000C40CB">
        <w:t>retailers benefit from consumers having confidence that they are adhering to the conduct obligations in the Code</w:t>
      </w:r>
      <w:r w:rsidR="00382227">
        <w:t>.</w:t>
      </w:r>
    </w:p>
    <w:p w14:paraId="36ED7133" w14:textId="4B5AA92F" w:rsidR="000C40CB" w:rsidRDefault="000C40CB" w:rsidP="000C40CB">
      <w:pPr>
        <w:pStyle w:val="Numbered"/>
        <w:numPr>
          <w:ilvl w:val="1"/>
          <w:numId w:val="1"/>
        </w:numPr>
      </w:pPr>
      <w:r>
        <w:t>consumers benefit from improved conduct between</w:t>
      </w:r>
      <w:r w:rsidR="00AA1652">
        <w:t xml:space="preserve"> designated</w:t>
      </w:r>
      <w:r>
        <w:t xml:space="preserve"> retailers and suppliers, which should deliver long-term benefit</w:t>
      </w:r>
      <w:r w:rsidR="006D3B0F">
        <w:t>s in terms</w:t>
      </w:r>
      <w:r>
        <w:t xml:space="preserve"> of </w:t>
      </w:r>
      <w:r w:rsidR="006D3B0F">
        <w:t>a bigger range of products</w:t>
      </w:r>
      <w:r>
        <w:t xml:space="preserve"> at competitive prices</w:t>
      </w:r>
      <w:r w:rsidR="00382227">
        <w:t>.</w:t>
      </w:r>
    </w:p>
    <w:p w14:paraId="4E1C7A0F" w14:textId="60F912D0" w:rsidR="000C40CB" w:rsidRDefault="000C40CB" w:rsidP="000C40CB">
      <w:pPr>
        <w:pStyle w:val="Numbered"/>
        <w:numPr>
          <w:ilvl w:val="1"/>
          <w:numId w:val="1"/>
        </w:numPr>
      </w:pPr>
      <w:r>
        <w:t xml:space="preserve">suppliers benefit from compliance as they are better able to negotiate with </w:t>
      </w:r>
      <w:r w:rsidR="00AA1652">
        <w:t xml:space="preserve">designated </w:t>
      </w:r>
      <w:r>
        <w:t>retailers and therefore have an improved ability to invest in productive capacity and conduct research and development to bring new</w:t>
      </w:r>
      <w:r w:rsidR="006D3B0F">
        <w:t>,</w:t>
      </w:r>
      <w:r>
        <w:t xml:space="preserve"> innovative products to market.</w:t>
      </w:r>
    </w:p>
    <w:p w14:paraId="358364B2" w14:textId="10A0FBF3" w:rsidR="000C40CB" w:rsidRDefault="000C40CB" w:rsidP="000C40CB">
      <w:pPr>
        <w:pStyle w:val="Numbered"/>
      </w:pPr>
      <w:r>
        <w:t xml:space="preserve">The UK has investigation and enforcement powers for the GCA </w:t>
      </w:r>
      <w:r w:rsidR="006D3B0F">
        <w:t>(</w:t>
      </w:r>
      <w:r>
        <w:t>refer to the text box below</w:t>
      </w:r>
      <w:r w:rsidR="006D3B0F">
        <w:t>)</w:t>
      </w:r>
      <w:r>
        <w:t xml:space="preserve">. </w:t>
      </w:r>
      <w:r w:rsidR="00092624">
        <w:t>T</w:t>
      </w:r>
      <w:r>
        <w:t xml:space="preserve">he GCA does not have to seek a Court ruling to seek financial penalties but may impose financial penalties </w:t>
      </w:r>
      <w:r w:rsidR="00092624">
        <w:t>after an investigation</w:t>
      </w:r>
      <w:r>
        <w:t xml:space="preserve">. </w:t>
      </w:r>
    </w:p>
    <w:tbl>
      <w:tblPr>
        <w:tblStyle w:val="TableGrid"/>
        <w:tblW w:w="0" w:type="auto"/>
        <w:tblInd w:w="137" w:type="dxa"/>
        <w:tblCellMar>
          <w:top w:w="85" w:type="dxa"/>
          <w:bottom w:w="85" w:type="dxa"/>
        </w:tblCellMar>
        <w:tblLook w:val="04A0" w:firstRow="1" w:lastRow="0" w:firstColumn="1" w:lastColumn="0" w:noHBand="0" w:noVBand="1"/>
      </w:tblPr>
      <w:tblGrid>
        <w:gridCol w:w="8923"/>
      </w:tblGrid>
      <w:tr w:rsidR="000C40CB" w14:paraId="2EADD185" w14:textId="77777777" w:rsidTr="00A0540D">
        <w:tc>
          <w:tcPr>
            <w:tcW w:w="89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1529234" w14:textId="3D4F77C6" w:rsidR="000C40CB" w:rsidRDefault="000C40CB" w:rsidP="00A0540D">
            <w:pPr>
              <w:pStyle w:val="Numbered"/>
              <w:numPr>
                <w:ilvl w:val="0"/>
                <w:numId w:val="0"/>
              </w:numPr>
              <w:spacing w:before="0"/>
            </w:pPr>
            <w:r>
              <w:t xml:space="preserve">The UK’s </w:t>
            </w:r>
            <w:r w:rsidRPr="002A155C">
              <w:t>GCA</w:t>
            </w:r>
            <w:r>
              <w:t xml:space="preserve"> may undertake </w:t>
            </w:r>
            <w:r w:rsidR="000F5DC7">
              <w:t xml:space="preserve">an </w:t>
            </w:r>
            <w:r>
              <w:t xml:space="preserve">investigation if it has reason to suspect that a breach </w:t>
            </w:r>
            <w:r w:rsidR="000F5DC7">
              <w:t xml:space="preserve">of the Code </w:t>
            </w:r>
            <w:r>
              <w:t>has occurred.</w:t>
            </w:r>
            <w:r w:rsidRPr="00B910FD">
              <w:rPr>
                <w:vertAlign w:val="superscript"/>
              </w:rPr>
              <w:footnoteReference w:id="53"/>
            </w:r>
            <w:r>
              <w:t xml:space="preserve"> </w:t>
            </w:r>
            <w:r w:rsidR="00371F81">
              <w:t xml:space="preserve"> </w:t>
            </w:r>
            <w:r>
              <w:t xml:space="preserve">Three enforcement measures are available to the GCA if </w:t>
            </w:r>
            <w:r w:rsidR="00371F81">
              <w:t xml:space="preserve">it </w:t>
            </w:r>
            <w:r>
              <w:t>determine</w:t>
            </w:r>
            <w:r w:rsidR="00371F81">
              <w:t>s</w:t>
            </w:r>
            <w:r>
              <w:t xml:space="preserve"> that a retailer has </w:t>
            </w:r>
            <w:r w:rsidR="00371F81">
              <w:t xml:space="preserve">breached </w:t>
            </w:r>
            <w:r>
              <w:t>the Code:</w:t>
            </w:r>
          </w:p>
          <w:p w14:paraId="67BFA3A3" w14:textId="2CB2C125" w:rsidR="000C40CB" w:rsidRDefault="000C40CB" w:rsidP="003F2198">
            <w:pPr>
              <w:pStyle w:val="Numbered"/>
              <w:numPr>
                <w:ilvl w:val="1"/>
                <w:numId w:val="13"/>
              </w:numPr>
              <w:spacing w:before="0"/>
            </w:pPr>
            <w:r>
              <w:t xml:space="preserve">Make </w:t>
            </w:r>
            <w:r w:rsidR="000F5DC7">
              <w:t xml:space="preserve">binding </w:t>
            </w:r>
            <w:r>
              <w:t>recommendations</w:t>
            </w:r>
          </w:p>
          <w:p w14:paraId="3DF5A0BF" w14:textId="77777777" w:rsidR="000C40CB" w:rsidRDefault="000C40CB" w:rsidP="003F2198">
            <w:pPr>
              <w:pStyle w:val="Numbered"/>
              <w:numPr>
                <w:ilvl w:val="1"/>
                <w:numId w:val="13"/>
              </w:numPr>
              <w:spacing w:before="0"/>
            </w:pPr>
            <w:r>
              <w:t>Require information to be published (enforceable by civil proceedings)</w:t>
            </w:r>
          </w:p>
          <w:p w14:paraId="132494E2" w14:textId="77777777" w:rsidR="000C40CB" w:rsidRDefault="000C40CB" w:rsidP="003F2198">
            <w:pPr>
              <w:pStyle w:val="Numbered"/>
              <w:numPr>
                <w:ilvl w:val="1"/>
                <w:numId w:val="13"/>
              </w:numPr>
              <w:spacing w:before="0"/>
            </w:pPr>
            <w:r>
              <w:t>Impose financial penalties, which are limited to a maximum of 1% of the retailer’s turnover</w:t>
            </w:r>
            <w:r>
              <w:rPr>
                <w:rStyle w:val="FootnoteReference"/>
              </w:rPr>
              <w:footnoteReference w:id="54"/>
            </w:r>
          </w:p>
          <w:p w14:paraId="7D705F3D" w14:textId="77777777" w:rsidR="000C40CB" w:rsidRDefault="000C40CB" w:rsidP="00A0540D">
            <w:pPr>
              <w:pStyle w:val="Numbered"/>
              <w:numPr>
                <w:ilvl w:val="0"/>
                <w:numId w:val="0"/>
              </w:numPr>
              <w:spacing w:before="0"/>
            </w:pPr>
            <w:r>
              <w:t xml:space="preserve">Retailers may appeal against a financial penalty or the amount of the penalty to the Court. </w:t>
            </w:r>
          </w:p>
          <w:p w14:paraId="111D5E0D" w14:textId="77777777" w:rsidR="000C40CB" w:rsidRDefault="000C40CB" w:rsidP="00A0540D">
            <w:pPr>
              <w:pStyle w:val="Numbered"/>
              <w:numPr>
                <w:ilvl w:val="0"/>
                <w:numId w:val="0"/>
              </w:numPr>
              <w:spacing w:before="0"/>
            </w:pPr>
            <w:r w:rsidRPr="00D902B7">
              <w:lastRenderedPageBreak/>
              <w:t xml:space="preserve">The GCA may seek to recover costs of an investigation from the retailer if they are satisfied that the retailer has broken the Code. </w:t>
            </w:r>
          </w:p>
        </w:tc>
      </w:tr>
    </w:tbl>
    <w:p w14:paraId="5D4BA904" w14:textId="2F6E6565" w:rsidR="000C40CB" w:rsidRDefault="000C40CB" w:rsidP="000C40CB">
      <w:pPr>
        <w:pStyle w:val="Numbered"/>
      </w:pPr>
      <w:r>
        <w:lastRenderedPageBreak/>
        <w:t xml:space="preserve">The Australian </w:t>
      </w:r>
      <w:r w:rsidR="00CF244A">
        <w:t xml:space="preserve">groceries </w:t>
      </w:r>
      <w:r w:rsidR="000F5DC7">
        <w:t xml:space="preserve">regulator, the </w:t>
      </w:r>
      <w:r>
        <w:t>Australian Competition and Consumer Commission</w:t>
      </w:r>
      <w:r w:rsidR="00FF76F0">
        <w:t xml:space="preserve"> (</w:t>
      </w:r>
      <w:r w:rsidR="00FF76F0">
        <w:rPr>
          <w:b/>
          <w:bCs/>
        </w:rPr>
        <w:t>ACCC</w:t>
      </w:r>
      <w:r w:rsidR="00FF76F0" w:rsidRPr="00FF76F0">
        <w:t>)</w:t>
      </w:r>
      <w:r>
        <w:t xml:space="preserve"> has general enforcement powers</w:t>
      </w:r>
      <w:r w:rsidR="000640C2">
        <w:t xml:space="preserve"> and may require retailers to provide information.</w:t>
      </w:r>
      <w:r w:rsidR="00AA1652">
        <w:t xml:space="preserve"> </w:t>
      </w:r>
      <w:r w:rsidR="00FF76F0">
        <w:t xml:space="preserve">The ACCC has suggested that pecuniary penalties and infringement notices </w:t>
      </w:r>
      <w:r w:rsidR="00AA1652">
        <w:t xml:space="preserve">should be available to it to address </w:t>
      </w:r>
      <w:r w:rsidR="00FF76F0">
        <w:t>breaches of the Code.</w:t>
      </w:r>
      <w:r w:rsidR="00FF76F0">
        <w:rPr>
          <w:rStyle w:val="FootnoteReference"/>
        </w:rPr>
        <w:footnoteReference w:id="55"/>
      </w:r>
    </w:p>
    <w:p w14:paraId="26DDB7AC" w14:textId="4ED3E901" w:rsidR="00CE411D" w:rsidRPr="00933E02" w:rsidRDefault="000C40CB" w:rsidP="004735A2">
      <w:pPr>
        <w:pStyle w:val="Heading2"/>
        <w:tabs>
          <w:tab w:val="left" w:pos="567"/>
        </w:tabs>
      </w:pPr>
      <w:bookmarkStart w:id="239" w:name="_Toc103173727"/>
      <w:bookmarkStart w:id="240" w:name="_Toc104358691"/>
      <w:bookmarkStart w:id="241" w:name="_Toc107919671"/>
      <w:bookmarkStart w:id="242" w:name="_Hlk103326067"/>
      <w:r>
        <w:t>9.3</w:t>
      </w:r>
      <w:r w:rsidR="004735A2">
        <w:tab/>
      </w:r>
      <w:r w:rsidR="00CE411D" w:rsidRPr="00933E02">
        <w:t>When would the Code come into force?</w:t>
      </w:r>
      <w:bookmarkEnd w:id="239"/>
      <w:bookmarkEnd w:id="240"/>
      <w:bookmarkEnd w:id="241"/>
    </w:p>
    <w:p w14:paraId="4501F020" w14:textId="4DE52C55" w:rsidR="00EB7748" w:rsidRDefault="00EB7748" w:rsidP="00CE411D">
      <w:pPr>
        <w:pStyle w:val="Numbered"/>
      </w:pPr>
      <w:r w:rsidRPr="00EB7748">
        <w:t>Implementing the Code involves transition</w:t>
      </w:r>
      <w:r w:rsidR="00F92CFF">
        <w:t>ing</w:t>
      </w:r>
      <w:r w:rsidRPr="00EB7748">
        <w:t xml:space="preserve"> from the </w:t>
      </w:r>
      <w:r w:rsidR="00F92CFF">
        <w:t>status quo</w:t>
      </w:r>
      <w:r w:rsidRPr="00EB7748">
        <w:t xml:space="preserve"> to the requirements set out in a Code</w:t>
      </w:r>
      <w:r w:rsidR="00F92CFF">
        <w:t>.</w:t>
      </w:r>
      <w:r w:rsidRPr="00EB7748">
        <w:t xml:space="preserve"> </w:t>
      </w:r>
      <w:r w:rsidR="00F92CFF">
        <w:t>The</w:t>
      </w:r>
      <w:r w:rsidRPr="00EB7748">
        <w:t xml:space="preserve"> process </w:t>
      </w:r>
      <w:r w:rsidR="00F92CFF">
        <w:t>for</w:t>
      </w:r>
      <w:r w:rsidRPr="00EB7748">
        <w:t xml:space="preserve"> transition</w:t>
      </w:r>
      <w:r w:rsidR="00F92CFF">
        <w:t>ing</w:t>
      </w:r>
      <w:r w:rsidRPr="00EB7748">
        <w:t xml:space="preserve"> </w:t>
      </w:r>
      <w:r w:rsidR="00F92CFF">
        <w:t xml:space="preserve">will </w:t>
      </w:r>
      <w:r w:rsidRPr="00EB7748">
        <w:t>need to be carefully considered.</w:t>
      </w:r>
    </w:p>
    <w:p w14:paraId="712AEFA8" w14:textId="18F0CAA1" w:rsidR="00CE411D" w:rsidRPr="00D042AA" w:rsidRDefault="00F37625" w:rsidP="00CE411D">
      <w:pPr>
        <w:pStyle w:val="Numbered"/>
      </w:pPr>
      <w:r>
        <w:t>I</w:t>
      </w:r>
      <w:r w:rsidR="00CE411D" w:rsidRPr="00D042AA">
        <w:t xml:space="preserve">mplementation </w:t>
      </w:r>
      <w:r w:rsidR="00D63E6D">
        <w:t>could be</w:t>
      </w:r>
      <w:r w:rsidR="00CE411D" w:rsidRPr="00D042AA">
        <w:t xml:space="preserve"> staged with some provisions coming into effect immediately and others after a period of time</w:t>
      </w:r>
      <w:r w:rsidR="00D63E6D">
        <w:t>, for example:</w:t>
      </w:r>
    </w:p>
    <w:p w14:paraId="17390110" w14:textId="6C02A01B" w:rsidR="00CE411D" w:rsidRPr="00D042AA" w:rsidRDefault="00CE411D" w:rsidP="00CE411D">
      <w:pPr>
        <w:pStyle w:val="Numbered"/>
        <w:numPr>
          <w:ilvl w:val="1"/>
          <w:numId w:val="1"/>
        </w:numPr>
      </w:pPr>
      <w:r>
        <w:t xml:space="preserve">Provisions that do not require the modification of any existing contractual arrangements </w:t>
      </w:r>
      <w:r w:rsidRPr="00D042AA">
        <w:t xml:space="preserve">come into effect </w:t>
      </w:r>
      <w:r>
        <w:t xml:space="preserve">30 days after any regulation is passed. This would include the proposed good faith and/or fair dealing obligation. </w:t>
      </w:r>
    </w:p>
    <w:p w14:paraId="00EA6E33" w14:textId="689A4E8A" w:rsidR="00CE411D" w:rsidRPr="00D042AA" w:rsidRDefault="00CE411D" w:rsidP="00CE411D">
      <w:pPr>
        <w:pStyle w:val="Numbered"/>
        <w:numPr>
          <w:ilvl w:val="1"/>
          <w:numId w:val="1"/>
        </w:numPr>
      </w:pPr>
      <w:r>
        <w:t xml:space="preserve">Provisions that require funding will take effect as funding is </w:t>
      </w:r>
      <w:r w:rsidR="00D63E6D">
        <w:t>provided</w:t>
      </w:r>
      <w:r>
        <w:t xml:space="preserve">, for example implementation of monitoring, enforcement and dispute </w:t>
      </w:r>
      <w:r w:rsidRPr="00D042AA">
        <w:t>resolution</w:t>
      </w:r>
      <w:r w:rsidR="00F37625">
        <w:t xml:space="preserve"> functions</w:t>
      </w:r>
      <w:r>
        <w:t>.</w:t>
      </w:r>
    </w:p>
    <w:p w14:paraId="3C925486" w14:textId="548C8BE9" w:rsidR="00CE411D" w:rsidRDefault="00CE411D" w:rsidP="00CE411D">
      <w:pPr>
        <w:pStyle w:val="Numbered"/>
        <w:numPr>
          <w:ilvl w:val="1"/>
          <w:numId w:val="1"/>
        </w:numPr>
      </w:pPr>
      <w:r>
        <w:t xml:space="preserve">Provisions that require changes to </w:t>
      </w:r>
      <w:r w:rsidR="00AA1652">
        <w:t xml:space="preserve">grocery </w:t>
      </w:r>
      <w:r w:rsidRPr="00D042AA">
        <w:t xml:space="preserve">supply agreements </w:t>
      </w:r>
      <w:r>
        <w:t xml:space="preserve">(which are </w:t>
      </w:r>
      <w:r w:rsidR="00D63E6D">
        <w:t xml:space="preserve">contracts) </w:t>
      </w:r>
      <w:r w:rsidRPr="00D042AA">
        <w:t xml:space="preserve">are to take effect no later than 12 months after </w:t>
      </w:r>
      <w:r w:rsidR="00CC69DE">
        <w:t xml:space="preserve">the </w:t>
      </w:r>
      <w:r w:rsidRPr="00D042AA">
        <w:t xml:space="preserve">Code </w:t>
      </w:r>
      <w:r>
        <w:t xml:space="preserve">comes into force. </w:t>
      </w:r>
    </w:p>
    <w:p w14:paraId="2EE04057" w14:textId="04E8C3A0" w:rsidR="00AA1652" w:rsidRPr="00D042AA" w:rsidRDefault="00AA1652" w:rsidP="00AA1652">
      <w:pPr>
        <w:pStyle w:val="Numbered"/>
      </w:pPr>
      <w:r>
        <w:t>We are seeking feedback on the timing of this implementation (refer to question 34)</w:t>
      </w:r>
    </w:p>
    <w:p w14:paraId="477E446C" w14:textId="03E16BD8" w:rsidR="00005630" w:rsidRPr="00933E02" w:rsidRDefault="00005630" w:rsidP="004735A2">
      <w:pPr>
        <w:pStyle w:val="Heading2"/>
        <w:tabs>
          <w:tab w:val="left" w:pos="567"/>
        </w:tabs>
      </w:pPr>
      <w:bookmarkStart w:id="243" w:name="_Toc104358692"/>
      <w:bookmarkStart w:id="244" w:name="_Toc107919672"/>
      <w:r>
        <w:t>9.4</w:t>
      </w:r>
      <w:r w:rsidR="004735A2">
        <w:tab/>
      </w:r>
      <w:r>
        <w:t>Consultation question</w:t>
      </w:r>
      <w:bookmarkEnd w:id="243"/>
      <w:bookmarkEnd w:id="244"/>
    </w:p>
    <w:tbl>
      <w:tblPr>
        <w:tblStyle w:val="TableGrid"/>
        <w:tblW w:w="0" w:type="auto"/>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600" w:firstRow="0" w:lastRow="0" w:firstColumn="0" w:lastColumn="0" w:noHBand="1" w:noVBand="1"/>
      </w:tblPr>
      <w:tblGrid>
        <w:gridCol w:w="531"/>
        <w:gridCol w:w="8539"/>
      </w:tblGrid>
      <w:tr w:rsidR="00A465A3" w:rsidRPr="00133B22" w14:paraId="4218773A" w14:textId="77777777" w:rsidTr="00E95635">
        <w:trPr>
          <w:cantSplit/>
        </w:trPr>
        <w:tc>
          <w:tcPr>
            <w:tcW w:w="531" w:type="dxa"/>
            <w:shd w:val="clear" w:color="auto" w:fill="006272"/>
            <w:vAlign w:val="center"/>
          </w:tcPr>
          <w:p w14:paraId="6947C62E" w14:textId="77777777" w:rsidR="00A465A3" w:rsidRPr="00133B22" w:rsidRDefault="00A465A3" w:rsidP="006F160C">
            <w:pPr>
              <w:pStyle w:val="Questionnumber"/>
            </w:pPr>
          </w:p>
        </w:tc>
        <w:tc>
          <w:tcPr>
            <w:tcW w:w="8539" w:type="dxa"/>
            <w:shd w:val="clear" w:color="auto" w:fill="B3D0D5"/>
          </w:tcPr>
          <w:p w14:paraId="018ABA44" w14:textId="15605EC7" w:rsidR="00A465A3" w:rsidRDefault="004C04F5" w:rsidP="006F160C">
            <w:pPr>
              <w:pStyle w:val="Question"/>
            </w:pPr>
            <w:r>
              <w:t xml:space="preserve">Do you have any views on the </w:t>
            </w:r>
            <w:r w:rsidR="002843A2">
              <w:t>Australian and UK approaches to monitoring, compliance obligations, and enforcement</w:t>
            </w:r>
            <w:r>
              <w:t>, and which might be most effective for New Zealand</w:t>
            </w:r>
            <w:r w:rsidR="002843A2">
              <w:t>?</w:t>
            </w:r>
          </w:p>
        </w:tc>
      </w:tr>
      <w:tr w:rsidR="00AA1652" w:rsidRPr="00133B22" w14:paraId="50E0F80C" w14:textId="77777777" w:rsidTr="00E95635">
        <w:trPr>
          <w:cantSplit/>
        </w:trPr>
        <w:tc>
          <w:tcPr>
            <w:tcW w:w="531" w:type="dxa"/>
            <w:shd w:val="clear" w:color="auto" w:fill="006272"/>
            <w:vAlign w:val="center"/>
          </w:tcPr>
          <w:p w14:paraId="69CD94E7" w14:textId="77777777" w:rsidR="00AA1652" w:rsidRPr="00133B22" w:rsidRDefault="00AA1652" w:rsidP="006F160C">
            <w:pPr>
              <w:pStyle w:val="Questionnumber"/>
            </w:pPr>
          </w:p>
        </w:tc>
        <w:tc>
          <w:tcPr>
            <w:tcW w:w="8539" w:type="dxa"/>
            <w:shd w:val="clear" w:color="auto" w:fill="B3D0D5"/>
          </w:tcPr>
          <w:p w14:paraId="0ED65E01" w14:textId="6C7CD3EF" w:rsidR="00AA1652" w:rsidRDefault="00AA1652" w:rsidP="006F160C">
            <w:pPr>
              <w:pStyle w:val="Question"/>
            </w:pPr>
            <w:r>
              <w:t>Do you have any comments on the potential compliance costs (for suppliers and designated retailers) from the proposed content of the Code of Conduct?</w:t>
            </w:r>
          </w:p>
        </w:tc>
      </w:tr>
      <w:tr w:rsidR="00E4366F" w:rsidRPr="00133B22" w14:paraId="2439576A" w14:textId="77777777" w:rsidTr="00E95635">
        <w:trPr>
          <w:cantSplit/>
        </w:trPr>
        <w:tc>
          <w:tcPr>
            <w:tcW w:w="531" w:type="dxa"/>
            <w:shd w:val="clear" w:color="auto" w:fill="006272"/>
            <w:vAlign w:val="center"/>
          </w:tcPr>
          <w:p w14:paraId="62DEDEB2" w14:textId="77777777" w:rsidR="00E4366F" w:rsidRPr="00133B22" w:rsidRDefault="00E4366F" w:rsidP="006F160C">
            <w:pPr>
              <w:pStyle w:val="Questionnumber"/>
            </w:pPr>
          </w:p>
        </w:tc>
        <w:tc>
          <w:tcPr>
            <w:tcW w:w="8539" w:type="dxa"/>
            <w:shd w:val="clear" w:color="auto" w:fill="B3D0D5"/>
          </w:tcPr>
          <w:p w14:paraId="1B1232F3" w14:textId="19A0994E" w:rsidR="00E4366F" w:rsidRDefault="004C04F5" w:rsidP="006F160C">
            <w:pPr>
              <w:pStyle w:val="Question"/>
            </w:pPr>
            <w:r>
              <w:t xml:space="preserve">Do you have any views on how the Code should be implemented? </w:t>
            </w:r>
          </w:p>
        </w:tc>
      </w:tr>
      <w:tr w:rsidR="00E4366F" w:rsidRPr="00133B22" w14:paraId="7D152C89" w14:textId="77777777" w:rsidTr="00E95635">
        <w:trPr>
          <w:cantSplit/>
        </w:trPr>
        <w:tc>
          <w:tcPr>
            <w:tcW w:w="531" w:type="dxa"/>
            <w:shd w:val="clear" w:color="auto" w:fill="006272"/>
            <w:vAlign w:val="center"/>
          </w:tcPr>
          <w:p w14:paraId="7264C662" w14:textId="77777777" w:rsidR="00E4366F" w:rsidRPr="00133B22" w:rsidRDefault="00E4366F" w:rsidP="006F160C">
            <w:pPr>
              <w:pStyle w:val="Questionnumber"/>
            </w:pPr>
          </w:p>
        </w:tc>
        <w:tc>
          <w:tcPr>
            <w:tcW w:w="8539" w:type="dxa"/>
            <w:shd w:val="clear" w:color="auto" w:fill="B3D0D5"/>
          </w:tcPr>
          <w:p w14:paraId="1F1B8049" w14:textId="11247198" w:rsidR="00E4366F" w:rsidRDefault="00E4366F" w:rsidP="006F160C">
            <w:pPr>
              <w:pStyle w:val="Question"/>
            </w:pPr>
            <w:r>
              <w:t xml:space="preserve">Do you have any </w:t>
            </w:r>
            <w:r w:rsidR="00AA1652">
              <w:t xml:space="preserve">other </w:t>
            </w:r>
            <w:r>
              <w:t xml:space="preserve">comments on the matters discussed in </w:t>
            </w:r>
            <w:r w:rsidRPr="00F4718E">
              <w:rPr>
                <w:b/>
                <w:bCs/>
              </w:rPr>
              <w:t>Chapter 9?</w:t>
            </w:r>
          </w:p>
        </w:tc>
      </w:tr>
      <w:bookmarkEnd w:id="242"/>
    </w:tbl>
    <w:p w14:paraId="62172FBF" w14:textId="77777777" w:rsidR="00613281" w:rsidRDefault="00613281" w:rsidP="00613281">
      <w:r>
        <w:br w:type="page"/>
      </w:r>
    </w:p>
    <w:p w14:paraId="4354957D" w14:textId="539B3E3A" w:rsidR="00AC78EE" w:rsidRDefault="008C16BD" w:rsidP="00CC4F72">
      <w:pPr>
        <w:pStyle w:val="Heading1-Unnumbered"/>
      </w:pPr>
      <w:bookmarkStart w:id="245" w:name="_Toc103173731"/>
      <w:bookmarkStart w:id="246" w:name="_Toc104358693"/>
      <w:bookmarkStart w:id="247" w:name="_Toc107919673"/>
      <w:r>
        <w:lastRenderedPageBreak/>
        <w:t xml:space="preserve">Annex: </w:t>
      </w:r>
      <w:bookmarkEnd w:id="245"/>
      <w:r w:rsidR="00A36F2A">
        <w:t>Recap of questions</w:t>
      </w:r>
      <w:bookmarkEnd w:id="246"/>
      <w:r w:rsidR="000B0356">
        <w:t xml:space="preserve"> in this </w:t>
      </w:r>
      <w:r w:rsidR="00A91DBC">
        <w:t>consultation</w:t>
      </w:r>
      <w:r w:rsidR="000B0356">
        <w:t xml:space="preserve"> paper</w:t>
      </w:r>
      <w:bookmarkStart w:id="248" w:name="_Toc464647865"/>
      <w:bookmarkEnd w:id="247"/>
    </w:p>
    <w:bookmarkEnd w:id="248"/>
    <w:tbl>
      <w:tblPr>
        <w:tblStyle w:val="TableGrid"/>
        <w:tblW w:w="9070"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CellMar>
          <w:top w:w="85" w:type="dxa"/>
          <w:bottom w:w="57" w:type="dxa"/>
        </w:tblCellMar>
        <w:tblLook w:val="0600" w:firstRow="0" w:lastRow="0" w:firstColumn="0" w:lastColumn="0" w:noHBand="1" w:noVBand="1"/>
      </w:tblPr>
      <w:tblGrid>
        <w:gridCol w:w="531"/>
        <w:gridCol w:w="8539"/>
      </w:tblGrid>
      <w:tr w:rsidR="008C6E8C" w:rsidRPr="00133B22" w14:paraId="11490071" w14:textId="77777777" w:rsidTr="00AA1652">
        <w:trPr>
          <w:cantSplit/>
        </w:trPr>
        <w:tc>
          <w:tcPr>
            <w:tcW w:w="531" w:type="dxa"/>
            <w:shd w:val="clear" w:color="auto" w:fill="006272"/>
            <w:vAlign w:val="center"/>
          </w:tcPr>
          <w:p w14:paraId="4D4112E3" w14:textId="77777777" w:rsidR="008C6E8C" w:rsidRPr="00133B22" w:rsidRDefault="008C6E8C" w:rsidP="003F2198">
            <w:pPr>
              <w:pStyle w:val="Questionnumber"/>
              <w:numPr>
                <w:ilvl w:val="0"/>
                <w:numId w:val="17"/>
              </w:numPr>
              <w:contextualSpacing/>
            </w:pPr>
          </w:p>
        </w:tc>
        <w:tc>
          <w:tcPr>
            <w:tcW w:w="8539" w:type="dxa"/>
            <w:shd w:val="clear" w:color="auto" w:fill="B3D0D5"/>
            <w:vAlign w:val="center"/>
          </w:tcPr>
          <w:p w14:paraId="5055B4E1" w14:textId="7CE503D4" w:rsidR="008C6E8C" w:rsidRDefault="008C6E8C" w:rsidP="00950BF6">
            <w:pPr>
              <w:pStyle w:val="Numbered"/>
              <w:numPr>
                <w:ilvl w:val="0"/>
                <w:numId w:val="0"/>
              </w:numPr>
              <w:spacing w:before="0"/>
              <w:contextualSpacing/>
            </w:pPr>
            <w:r>
              <w:t xml:space="preserve">Do you have any comments in relation to </w:t>
            </w:r>
            <w:r w:rsidRPr="00F81331">
              <w:rPr>
                <w:b/>
                <w:bCs/>
              </w:rPr>
              <w:t xml:space="preserve">Chapter </w:t>
            </w:r>
            <w:r w:rsidR="00F81331" w:rsidRPr="00F81331">
              <w:rPr>
                <w:b/>
                <w:bCs/>
              </w:rPr>
              <w:t>2</w:t>
            </w:r>
            <w:r>
              <w:t>, in particular any comments on:</w:t>
            </w:r>
          </w:p>
          <w:p w14:paraId="0309028B" w14:textId="07F9426B" w:rsidR="008C6E8C" w:rsidRDefault="008C6E8C" w:rsidP="003F2198">
            <w:pPr>
              <w:pStyle w:val="Numbered"/>
              <w:numPr>
                <w:ilvl w:val="0"/>
                <w:numId w:val="18"/>
              </w:numPr>
              <w:spacing w:before="0"/>
              <w:contextualSpacing/>
            </w:pPr>
            <w:r>
              <w:t>the objectives (section 2.2)?</w:t>
            </w:r>
          </w:p>
          <w:p w14:paraId="547E6DD9" w14:textId="56F66109" w:rsidR="008C6E8C" w:rsidRDefault="008C6E8C" w:rsidP="00861D0E">
            <w:pPr>
              <w:pStyle w:val="Numbered"/>
              <w:numPr>
                <w:ilvl w:val="0"/>
                <w:numId w:val="18"/>
              </w:numPr>
              <w:spacing w:before="0"/>
              <w:contextualSpacing/>
            </w:pPr>
            <w:r>
              <w:t>evaluation criteria for the Code (section 2.3)?</w:t>
            </w:r>
          </w:p>
        </w:tc>
      </w:tr>
      <w:tr w:rsidR="006C6400" w:rsidRPr="00133B22" w14:paraId="62BD19AE" w14:textId="77777777" w:rsidTr="00AA1652">
        <w:trPr>
          <w:cantSplit/>
        </w:trPr>
        <w:tc>
          <w:tcPr>
            <w:tcW w:w="531" w:type="dxa"/>
            <w:shd w:val="clear" w:color="auto" w:fill="006272"/>
            <w:vAlign w:val="center"/>
          </w:tcPr>
          <w:p w14:paraId="38A2A407" w14:textId="77777777" w:rsidR="006C6400" w:rsidRPr="00133B22" w:rsidRDefault="006C6400" w:rsidP="00950BF6">
            <w:pPr>
              <w:pStyle w:val="Questionnumber"/>
              <w:contextualSpacing/>
            </w:pPr>
          </w:p>
        </w:tc>
        <w:tc>
          <w:tcPr>
            <w:tcW w:w="8539" w:type="dxa"/>
            <w:shd w:val="clear" w:color="auto" w:fill="B3D0D5"/>
            <w:vAlign w:val="center"/>
          </w:tcPr>
          <w:p w14:paraId="527B6421" w14:textId="3A64FEAB" w:rsidR="006C6400" w:rsidRDefault="00ED4E52" w:rsidP="00950BF6">
            <w:pPr>
              <w:pStyle w:val="Numbered"/>
              <w:numPr>
                <w:ilvl w:val="0"/>
                <w:numId w:val="0"/>
              </w:numPr>
              <w:spacing w:before="0"/>
              <w:contextualSpacing/>
            </w:pPr>
            <w:r w:rsidRPr="00DE4F32">
              <w:t>In</w:t>
            </w:r>
            <w:r>
              <w:t xml:space="preserve"> relation to </w:t>
            </w:r>
            <w:r w:rsidRPr="006C6400">
              <w:rPr>
                <w:b/>
                <w:bCs/>
              </w:rPr>
              <w:t xml:space="preserve">section </w:t>
            </w:r>
            <w:r w:rsidRPr="00F4718E">
              <w:rPr>
                <w:b/>
                <w:bCs/>
              </w:rPr>
              <w:t>3.</w:t>
            </w:r>
            <w:r>
              <w:rPr>
                <w:b/>
                <w:bCs/>
              </w:rPr>
              <w:t>3</w:t>
            </w:r>
            <w:r w:rsidRPr="008C6E8C">
              <w:t>, w</w:t>
            </w:r>
            <w:r>
              <w:t xml:space="preserve">hich of the three </w:t>
            </w:r>
            <w:r>
              <w:rPr>
                <w:b/>
                <w:bCs/>
              </w:rPr>
              <w:t>D</w:t>
            </w:r>
            <w:r w:rsidRPr="00DE4F32">
              <w:rPr>
                <w:b/>
                <w:bCs/>
              </w:rPr>
              <w:t xml:space="preserve">esignation </w:t>
            </w:r>
            <w:r>
              <w:rPr>
                <w:b/>
                <w:bCs/>
              </w:rPr>
              <w:t>O</w:t>
            </w:r>
            <w:r w:rsidRPr="00DE4F32">
              <w:rPr>
                <w:b/>
                <w:bCs/>
              </w:rPr>
              <w:t>ptions</w:t>
            </w:r>
            <w:r>
              <w:t xml:space="preserve"> </w:t>
            </w:r>
            <w:r>
              <w:rPr>
                <w:bCs/>
              </w:rPr>
              <w:t>do you think is best, and why?</w:t>
            </w:r>
          </w:p>
        </w:tc>
      </w:tr>
      <w:tr w:rsidR="00F4718E" w:rsidRPr="00133B22" w14:paraId="1257AA1A" w14:textId="77777777" w:rsidTr="00AA1652">
        <w:trPr>
          <w:cantSplit/>
        </w:trPr>
        <w:tc>
          <w:tcPr>
            <w:tcW w:w="531" w:type="dxa"/>
            <w:shd w:val="clear" w:color="auto" w:fill="006272"/>
            <w:vAlign w:val="center"/>
          </w:tcPr>
          <w:p w14:paraId="2340D22E" w14:textId="77777777" w:rsidR="00F4718E" w:rsidRPr="00133B22" w:rsidRDefault="00F4718E" w:rsidP="00950BF6">
            <w:pPr>
              <w:pStyle w:val="Questionnumber"/>
              <w:contextualSpacing/>
            </w:pPr>
          </w:p>
        </w:tc>
        <w:tc>
          <w:tcPr>
            <w:tcW w:w="8539" w:type="dxa"/>
            <w:shd w:val="clear" w:color="auto" w:fill="B3D0D5"/>
          </w:tcPr>
          <w:p w14:paraId="08CBED34" w14:textId="4F8AAA3B" w:rsidR="00F4718E" w:rsidRPr="00DE4F32" w:rsidRDefault="00ED4E52" w:rsidP="00950BF6">
            <w:pPr>
              <w:pStyle w:val="Numbered"/>
              <w:numPr>
                <w:ilvl w:val="0"/>
                <w:numId w:val="0"/>
              </w:numPr>
              <w:spacing w:before="0"/>
              <w:contextualSpacing/>
              <w:rPr>
                <w:bCs/>
              </w:rPr>
            </w:pPr>
            <w:r w:rsidRPr="00DE4F32">
              <w:t>In</w:t>
            </w:r>
            <w:r>
              <w:t xml:space="preserve"> relation to </w:t>
            </w:r>
            <w:r w:rsidRPr="006C6400">
              <w:rPr>
                <w:b/>
                <w:bCs/>
              </w:rPr>
              <w:t xml:space="preserve">section </w:t>
            </w:r>
            <w:r w:rsidRPr="00F4718E">
              <w:rPr>
                <w:b/>
                <w:bCs/>
              </w:rPr>
              <w:t>3.</w:t>
            </w:r>
            <w:r>
              <w:rPr>
                <w:b/>
                <w:bCs/>
              </w:rPr>
              <w:t>4</w:t>
            </w:r>
            <w:r w:rsidRPr="008C6E8C">
              <w:t>, w</w:t>
            </w:r>
            <w:r>
              <w:t xml:space="preserve">hich of the three </w:t>
            </w:r>
            <w:r>
              <w:rPr>
                <w:b/>
                <w:bCs/>
              </w:rPr>
              <w:t>O</w:t>
            </w:r>
            <w:r w:rsidRPr="00DE4F32">
              <w:rPr>
                <w:b/>
                <w:bCs/>
              </w:rPr>
              <w:t>ptions</w:t>
            </w:r>
            <w:r>
              <w:t xml:space="preserve"> </w:t>
            </w:r>
            <w:r>
              <w:rPr>
                <w:bCs/>
              </w:rPr>
              <w:t>do you think is best, and why?</w:t>
            </w:r>
          </w:p>
        </w:tc>
      </w:tr>
      <w:tr w:rsidR="00531897" w:rsidRPr="00133B22" w14:paraId="3982D9EE" w14:textId="77777777" w:rsidTr="00AA1652">
        <w:trPr>
          <w:cantSplit/>
          <w:trHeight w:val="286"/>
        </w:trPr>
        <w:tc>
          <w:tcPr>
            <w:tcW w:w="531" w:type="dxa"/>
            <w:shd w:val="clear" w:color="auto" w:fill="006272"/>
            <w:vAlign w:val="center"/>
          </w:tcPr>
          <w:p w14:paraId="646529A8" w14:textId="77777777" w:rsidR="00531897" w:rsidRPr="00133B22" w:rsidRDefault="00531897" w:rsidP="00950BF6">
            <w:pPr>
              <w:pStyle w:val="Questionnumber"/>
              <w:contextualSpacing/>
            </w:pPr>
          </w:p>
        </w:tc>
        <w:tc>
          <w:tcPr>
            <w:tcW w:w="8539" w:type="dxa"/>
            <w:shd w:val="clear" w:color="auto" w:fill="B3D0D5"/>
          </w:tcPr>
          <w:p w14:paraId="17FBFF6E" w14:textId="77777777" w:rsidR="00531897" w:rsidRPr="00531897" w:rsidRDefault="00531897" w:rsidP="00950BF6">
            <w:pPr>
              <w:pStyle w:val="Numbered"/>
              <w:numPr>
                <w:ilvl w:val="0"/>
                <w:numId w:val="0"/>
              </w:numPr>
              <w:spacing w:before="0"/>
              <w:contextualSpacing/>
            </w:pPr>
            <w:r>
              <w:t xml:space="preserve">Do you have any comments on the preliminary assessment of the options against the criteria in </w:t>
            </w:r>
            <w:r>
              <w:rPr>
                <w:b/>
                <w:bCs/>
              </w:rPr>
              <w:t>Chapter 3</w:t>
            </w:r>
            <w:r>
              <w:t>?</w:t>
            </w:r>
          </w:p>
        </w:tc>
      </w:tr>
      <w:tr w:rsidR="00F4718E" w:rsidRPr="00133B22" w14:paraId="7F61F64A" w14:textId="77777777" w:rsidTr="00AA1652">
        <w:trPr>
          <w:cantSplit/>
        </w:trPr>
        <w:tc>
          <w:tcPr>
            <w:tcW w:w="531" w:type="dxa"/>
            <w:shd w:val="clear" w:color="auto" w:fill="006272"/>
            <w:vAlign w:val="center"/>
          </w:tcPr>
          <w:p w14:paraId="780E4E8B" w14:textId="77777777" w:rsidR="00F4718E" w:rsidRPr="00096770" w:rsidRDefault="00F4718E" w:rsidP="00950BF6">
            <w:pPr>
              <w:pStyle w:val="Questionnumber"/>
              <w:contextualSpacing/>
              <w:rPr>
                <w:color w:val="F2F2F2" w:themeColor="background2" w:themeShade="F2"/>
              </w:rPr>
            </w:pPr>
          </w:p>
        </w:tc>
        <w:tc>
          <w:tcPr>
            <w:tcW w:w="8539" w:type="dxa"/>
            <w:shd w:val="clear" w:color="auto" w:fill="B3D0D5"/>
          </w:tcPr>
          <w:p w14:paraId="57E821B5" w14:textId="5791007F" w:rsidR="00F4718E" w:rsidRPr="00D76438" w:rsidRDefault="00F4718E" w:rsidP="00950BF6">
            <w:pPr>
              <w:pStyle w:val="Question"/>
              <w:spacing w:before="0" w:after="0"/>
              <w:contextualSpacing/>
            </w:pPr>
            <w:r>
              <w:t xml:space="preserve">In relation to </w:t>
            </w:r>
            <w:r>
              <w:rPr>
                <w:b/>
                <w:bCs/>
              </w:rPr>
              <w:t>4.</w:t>
            </w:r>
            <w:r w:rsidR="004B3BF1">
              <w:rPr>
                <w:b/>
                <w:bCs/>
              </w:rPr>
              <w:t>2</w:t>
            </w:r>
            <w:r>
              <w:rPr>
                <w:b/>
                <w:bCs/>
              </w:rPr>
              <w:t xml:space="preserve"> purpose of the Code, </w:t>
            </w:r>
            <w:r>
              <w:t>which of the three options do you agree with, and why?</w:t>
            </w:r>
          </w:p>
        </w:tc>
      </w:tr>
      <w:tr w:rsidR="00F4718E" w:rsidRPr="00133B22" w14:paraId="1740F95E" w14:textId="77777777" w:rsidTr="00AA1652">
        <w:trPr>
          <w:cantSplit/>
        </w:trPr>
        <w:tc>
          <w:tcPr>
            <w:tcW w:w="531" w:type="dxa"/>
            <w:shd w:val="clear" w:color="auto" w:fill="006272"/>
            <w:vAlign w:val="center"/>
          </w:tcPr>
          <w:p w14:paraId="6C327768" w14:textId="77777777" w:rsidR="00F4718E" w:rsidRPr="00096770" w:rsidRDefault="00F4718E" w:rsidP="00950BF6">
            <w:pPr>
              <w:pStyle w:val="Questionnumber"/>
              <w:contextualSpacing/>
              <w:rPr>
                <w:color w:val="F2F2F2" w:themeColor="background2" w:themeShade="F2"/>
              </w:rPr>
            </w:pPr>
          </w:p>
        </w:tc>
        <w:tc>
          <w:tcPr>
            <w:tcW w:w="8539" w:type="dxa"/>
            <w:shd w:val="clear" w:color="auto" w:fill="B3D0D5"/>
          </w:tcPr>
          <w:p w14:paraId="671BBACD" w14:textId="77777777" w:rsidR="00F4718E" w:rsidRDefault="00F4718E" w:rsidP="00950BF6">
            <w:pPr>
              <w:pStyle w:val="Question"/>
              <w:spacing w:before="0" w:after="0"/>
              <w:contextualSpacing/>
            </w:pPr>
            <w:r>
              <w:t>Do you see any risks if the purpose of the Code was to:</w:t>
            </w:r>
          </w:p>
          <w:p w14:paraId="2A921EF8" w14:textId="2F81C632" w:rsidR="00F4718E" w:rsidRDefault="00F4718E" w:rsidP="003F2198">
            <w:pPr>
              <w:pStyle w:val="Question"/>
              <w:numPr>
                <w:ilvl w:val="0"/>
                <w:numId w:val="16"/>
              </w:numPr>
              <w:spacing w:before="0" w:after="0"/>
              <w:contextualSpacing/>
              <w:rPr>
                <w:lang w:val="en-US"/>
              </w:rPr>
            </w:pPr>
            <w:r>
              <w:rPr>
                <w:lang w:val="en-US"/>
              </w:rPr>
              <w:t xml:space="preserve">address any </w:t>
            </w:r>
            <w:r w:rsidRPr="002F080B">
              <w:rPr>
                <w:lang w:val="en-US"/>
              </w:rPr>
              <w:t xml:space="preserve">impacts </w:t>
            </w:r>
            <w:r>
              <w:rPr>
                <w:lang w:val="en-US"/>
              </w:rPr>
              <w:t xml:space="preserve">of </w:t>
            </w:r>
            <w:r w:rsidRPr="002F080B">
              <w:rPr>
                <w:lang w:val="en-US"/>
              </w:rPr>
              <w:t>the major grocery retailers</w:t>
            </w:r>
            <w:r w:rsidR="005A46E3">
              <w:rPr>
                <w:lang w:val="en-US"/>
              </w:rPr>
              <w:t>’</w:t>
            </w:r>
            <w:r w:rsidRPr="002F080B">
              <w:rPr>
                <w:lang w:val="en-US"/>
              </w:rPr>
              <w:t xml:space="preserve"> trading relationship with the supplier on other </w:t>
            </w:r>
            <w:r w:rsidR="005A46E3">
              <w:rPr>
                <w:lang w:val="en-US"/>
              </w:rPr>
              <w:t xml:space="preserve">grocery </w:t>
            </w:r>
            <w:r w:rsidRPr="002F080B">
              <w:rPr>
                <w:lang w:val="en-US"/>
              </w:rPr>
              <w:t>retailers</w:t>
            </w:r>
            <w:r>
              <w:rPr>
                <w:lang w:val="en-US"/>
              </w:rPr>
              <w:t xml:space="preserve">, or </w:t>
            </w:r>
          </w:p>
          <w:p w14:paraId="42BADE65" w14:textId="77777777" w:rsidR="00F4718E" w:rsidRDefault="00F4718E" w:rsidP="003F2198">
            <w:pPr>
              <w:pStyle w:val="Question"/>
              <w:numPr>
                <w:ilvl w:val="0"/>
                <w:numId w:val="16"/>
              </w:numPr>
              <w:spacing w:before="0" w:after="0"/>
              <w:contextualSpacing/>
              <w:rPr>
                <w:lang w:val="en-US"/>
              </w:rPr>
            </w:pPr>
            <w:r>
              <w:rPr>
                <w:lang w:val="en-US"/>
              </w:rPr>
              <w:t xml:space="preserve">support </w:t>
            </w:r>
            <w:r w:rsidRPr="002F080B">
              <w:rPr>
                <w:lang w:val="en-US"/>
              </w:rPr>
              <w:t>any wholesale supply arrangements</w:t>
            </w:r>
            <w:r>
              <w:rPr>
                <w:lang w:val="en-US"/>
              </w:rPr>
              <w:t>?</w:t>
            </w:r>
          </w:p>
          <w:p w14:paraId="15F29B6A" w14:textId="209D29E8" w:rsidR="00F4718E" w:rsidRPr="005445D7" w:rsidRDefault="00F4718E" w:rsidP="00950BF6">
            <w:pPr>
              <w:pStyle w:val="Question"/>
              <w:spacing w:before="0" w:after="0"/>
              <w:contextualSpacing/>
              <w:rPr>
                <w:lang w:val="en-US"/>
              </w:rPr>
            </w:pPr>
            <w:r>
              <w:rPr>
                <w:lang w:val="en-US"/>
              </w:rPr>
              <w:t>If yes, please explain the risks.</w:t>
            </w:r>
          </w:p>
        </w:tc>
      </w:tr>
      <w:tr w:rsidR="001F2FBC" w:rsidRPr="00133B22" w14:paraId="2EE7EB34" w14:textId="77777777" w:rsidTr="00AA1652">
        <w:trPr>
          <w:cantSplit/>
        </w:trPr>
        <w:tc>
          <w:tcPr>
            <w:tcW w:w="531" w:type="dxa"/>
            <w:shd w:val="clear" w:color="auto" w:fill="006272"/>
            <w:vAlign w:val="center"/>
          </w:tcPr>
          <w:p w14:paraId="0AFAED07" w14:textId="77777777" w:rsidR="001F2FBC" w:rsidRPr="00096770" w:rsidRDefault="001F2FBC" w:rsidP="00950BF6">
            <w:pPr>
              <w:pStyle w:val="Questionnumber"/>
              <w:contextualSpacing/>
              <w:rPr>
                <w:color w:val="F2F2F2" w:themeColor="background2" w:themeShade="F2"/>
              </w:rPr>
            </w:pPr>
          </w:p>
        </w:tc>
        <w:tc>
          <w:tcPr>
            <w:tcW w:w="8539" w:type="dxa"/>
            <w:shd w:val="clear" w:color="auto" w:fill="B3D0D5"/>
          </w:tcPr>
          <w:p w14:paraId="5763E8D4" w14:textId="7FD4FC2D" w:rsidR="001F2FBC" w:rsidRDefault="001F2FBC" w:rsidP="00950BF6">
            <w:pPr>
              <w:pStyle w:val="Question"/>
              <w:spacing w:before="0" w:after="0"/>
              <w:contextualSpacing/>
            </w:pPr>
            <w:r>
              <w:t xml:space="preserve">In relation to </w:t>
            </w:r>
            <w:r w:rsidRPr="005445D7">
              <w:rPr>
                <w:b/>
                <w:bCs/>
              </w:rPr>
              <w:t>4.</w:t>
            </w:r>
            <w:r w:rsidR="004B3BF1">
              <w:rPr>
                <w:b/>
                <w:bCs/>
              </w:rPr>
              <w:t>3</w:t>
            </w:r>
            <w:r>
              <w:t xml:space="preserve"> </w:t>
            </w:r>
            <w:r w:rsidRPr="005445D7">
              <w:rPr>
                <w:b/>
                <w:bCs/>
              </w:rPr>
              <w:t>overarching obligations</w:t>
            </w:r>
            <w:r>
              <w:t xml:space="preserve">, </w:t>
            </w:r>
            <w:r w:rsidR="00F04B38">
              <w:t>which of the three options do you agree with, and why?</w:t>
            </w:r>
          </w:p>
        </w:tc>
      </w:tr>
      <w:tr w:rsidR="00F4718E" w:rsidRPr="00133B22" w14:paraId="79581350" w14:textId="77777777" w:rsidTr="00AA1652">
        <w:trPr>
          <w:cantSplit/>
        </w:trPr>
        <w:tc>
          <w:tcPr>
            <w:tcW w:w="531" w:type="dxa"/>
            <w:shd w:val="clear" w:color="auto" w:fill="006272"/>
            <w:vAlign w:val="center"/>
          </w:tcPr>
          <w:p w14:paraId="639480A9" w14:textId="77777777" w:rsidR="00F4718E" w:rsidRPr="00096770" w:rsidRDefault="00F4718E" w:rsidP="00950BF6">
            <w:pPr>
              <w:pStyle w:val="Questionnumber"/>
              <w:contextualSpacing/>
              <w:rPr>
                <w:color w:val="FFFFFF" w:themeColor="background2"/>
              </w:rPr>
            </w:pPr>
          </w:p>
        </w:tc>
        <w:tc>
          <w:tcPr>
            <w:tcW w:w="8539" w:type="dxa"/>
            <w:shd w:val="clear" w:color="auto" w:fill="B3D0D5"/>
          </w:tcPr>
          <w:p w14:paraId="5318CC07" w14:textId="377513DE" w:rsidR="00F4718E" w:rsidRDefault="00F4718E" w:rsidP="00950BF6">
            <w:pPr>
              <w:pStyle w:val="Question"/>
              <w:spacing w:before="0" w:after="0"/>
              <w:contextualSpacing/>
            </w:pPr>
            <w:r>
              <w:t xml:space="preserve">Do you have any views on how to incorporate tikanga </w:t>
            </w:r>
            <w:r>
              <w:rPr>
                <w:lang w:val="mi-NZ"/>
              </w:rPr>
              <w:t xml:space="preserve">Māori </w:t>
            </w:r>
            <w:r>
              <w:t xml:space="preserve">or Te Ao </w:t>
            </w:r>
            <w:r>
              <w:rPr>
                <w:lang w:val="mi-NZ"/>
              </w:rPr>
              <w:t xml:space="preserve">Māori </w:t>
            </w:r>
            <w:r>
              <w:t>in the Code</w:t>
            </w:r>
            <w:r w:rsidRPr="00775816">
              <w:rPr>
                <w:lang w:val="mi-NZ"/>
              </w:rPr>
              <w:t>?</w:t>
            </w:r>
          </w:p>
        </w:tc>
      </w:tr>
      <w:tr w:rsidR="008215C4" w:rsidRPr="00133B22" w14:paraId="0ED0F6D1" w14:textId="77777777" w:rsidTr="00AA1652">
        <w:trPr>
          <w:cantSplit/>
        </w:trPr>
        <w:tc>
          <w:tcPr>
            <w:tcW w:w="531" w:type="dxa"/>
            <w:shd w:val="clear" w:color="auto" w:fill="006272"/>
            <w:vAlign w:val="center"/>
          </w:tcPr>
          <w:p w14:paraId="5D483AC3" w14:textId="77777777" w:rsidR="008215C4" w:rsidRPr="00096770" w:rsidRDefault="008215C4" w:rsidP="00950BF6">
            <w:pPr>
              <w:pStyle w:val="Questionnumber"/>
              <w:contextualSpacing/>
              <w:rPr>
                <w:color w:val="FFFFFF" w:themeColor="background2"/>
              </w:rPr>
            </w:pPr>
          </w:p>
        </w:tc>
        <w:tc>
          <w:tcPr>
            <w:tcW w:w="8539" w:type="dxa"/>
            <w:shd w:val="clear" w:color="auto" w:fill="B3D0D5"/>
          </w:tcPr>
          <w:p w14:paraId="370325E1" w14:textId="511EF24B" w:rsidR="008215C4" w:rsidRDefault="004B5F4B" w:rsidP="00950BF6">
            <w:pPr>
              <w:pStyle w:val="Question"/>
              <w:spacing w:before="0" w:after="0"/>
              <w:contextualSpacing/>
            </w:pPr>
            <w:r>
              <w:rPr>
                <w:lang w:val="en-US"/>
              </w:rPr>
              <w:t>H</w:t>
            </w:r>
            <w:r w:rsidR="008215C4">
              <w:rPr>
                <w:lang w:val="en-US"/>
              </w:rPr>
              <w:t>ow can the Code best incorporate economic development objectives</w:t>
            </w:r>
            <w:r w:rsidR="00F04B38">
              <w:rPr>
                <w:lang w:val="en-US"/>
              </w:rPr>
              <w:t>, including those of Māori</w:t>
            </w:r>
            <w:r w:rsidR="008215C4">
              <w:rPr>
                <w:lang w:val="en-US"/>
              </w:rPr>
              <w:t>?</w:t>
            </w:r>
          </w:p>
        </w:tc>
      </w:tr>
      <w:tr w:rsidR="00133C14" w:rsidRPr="00133B22" w14:paraId="666A6BC6" w14:textId="77777777" w:rsidTr="00AA1652">
        <w:trPr>
          <w:cantSplit/>
          <w:trHeight w:val="286"/>
        </w:trPr>
        <w:tc>
          <w:tcPr>
            <w:tcW w:w="531" w:type="dxa"/>
            <w:shd w:val="clear" w:color="auto" w:fill="006272"/>
            <w:vAlign w:val="center"/>
          </w:tcPr>
          <w:p w14:paraId="07E695DE" w14:textId="77777777" w:rsidR="00133C14" w:rsidRPr="00133B22" w:rsidRDefault="00133C14" w:rsidP="00950BF6">
            <w:pPr>
              <w:pStyle w:val="Questionnumber"/>
              <w:contextualSpacing/>
            </w:pPr>
          </w:p>
        </w:tc>
        <w:tc>
          <w:tcPr>
            <w:tcW w:w="8539" w:type="dxa"/>
            <w:shd w:val="clear" w:color="auto" w:fill="B3D0D5"/>
          </w:tcPr>
          <w:p w14:paraId="34100A5D" w14:textId="77777777" w:rsidR="00133C14" w:rsidRPr="00531897" w:rsidRDefault="00133C14" w:rsidP="00950BF6">
            <w:pPr>
              <w:pStyle w:val="Numbered"/>
              <w:numPr>
                <w:ilvl w:val="0"/>
                <w:numId w:val="0"/>
              </w:numPr>
              <w:spacing w:before="0"/>
              <w:contextualSpacing/>
            </w:pPr>
            <w:r>
              <w:t xml:space="preserve">Do you have any comments on the preliminary assessment of the options against the criteria in </w:t>
            </w:r>
            <w:r>
              <w:rPr>
                <w:b/>
                <w:bCs/>
              </w:rPr>
              <w:t>Chapter 4</w:t>
            </w:r>
            <w:r w:rsidRPr="00531897">
              <w:t>?</w:t>
            </w:r>
          </w:p>
        </w:tc>
      </w:tr>
      <w:tr w:rsidR="008A13DE" w:rsidRPr="00133B22" w14:paraId="55B41003" w14:textId="77777777" w:rsidTr="00AA1652">
        <w:trPr>
          <w:cantSplit/>
        </w:trPr>
        <w:tc>
          <w:tcPr>
            <w:tcW w:w="531" w:type="dxa"/>
            <w:shd w:val="clear" w:color="auto" w:fill="006272"/>
            <w:vAlign w:val="center"/>
          </w:tcPr>
          <w:p w14:paraId="4D971D53" w14:textId="77777777" w:rsidR="008A13DE" w:rsidRPr="00096770" w:rsidRDefault="008A13DE" w:rsidP="00950BF6">
            <w:pPr>
              <w:pStyle w:val="Questionnumber"/>
              <w:contextualSpacing/>
              <w:rPr>
                <w:color w:val="F2F2F2" w:themeColor="background2" w:themeShade="F2"/>
              </w:rPr>
            </w:pPr>
          </w:p>
        </w:tc>
        <w:tc>
          <w:tcPr>
            <w:tcW w:w="8539" w:type="dxa"/>
            <w:shd w:val="clear" w:color="auto" w:fill="B3D0D5"/>
          </w:tcPr>
          <w:p w14:paraId="090A013E" w14:textId="77777777" w:rsidR="008A13DE" w:rsidRDefault="008A13DE" w:rsidP="00950BF6">
            <w:pPr>
              <w:pStyle w:val="Question"/>
              <w:spacing w:before="0" w:after="0"/>
              <w:contextualSpacing/>
            </w:pPr>
            <w:r>
              <w:t xml:space="preserve">In relation to </w:t>
            </w:r>
            <w:r>
              <w:rPr>
                <w:b/>
                <w:bCs/>
              </w:rPr>
              <w:t>5.2 Requirements for supply agreements to be written and contain minimum content</w:t>
            </w:r>
            <w:r w:rsidRPr="001F2FBC">
              <w:t xml:space="preserve">, </w:t>
            </w:r>
            <w:r>
              <w:t xml:space="preserve">which of the options do you agree with, and why? </w:t>
            </w:r>
          </w:p>
          <w:p w14:paraId="394CE32D" w14:textId="5FDE4C9D" w:rsidR="008A13DE" w:rsidRPr="00D76438" w:rsidRDefault="008A13DE" w:rsidP="00950BF6">
            <w:pPr>
              <w:pStyle w:val="Question"/>
              <w:spacing w:before="0" w:after="0"/>
              <w:contextualSpacing/>
            </w:pPr>
            <w:r>
              <w:t>Is there any content that you think should be required in grocery supply agreements but is not mentioned?</w:t>
            </w:r>
          </w:p>
        </w:tc>
      </w:tr>
      <w:tr w:rsidR="008A13DE" w:rsidRPr="00133B22" w14:paraId="289E8470" w14:textId="77777777" w:rsidTr="00AA1652">
        <w:trPr>
          <w:cantSplit/>
        </w:trPr>
        <w:tc>
          <w:tcPr>
            <w:tcW w:w="531" w:type="dxa"/>
            <w:shd w:val="clear" w:color="auto" w:fill="006272"/>
            <w:vAlign w:val="center"/>
          </w:tcPr>
          <w:p w14:paraId="7A509F74" w14:textId="77777777" w:rsidR="008A13DE" w:rsidRPr="00096770" w:rsidRDefault="008A13DE" w:rsidP="00950BF6">
            <w:pPr>
              <w:pStyle w:val="Questionnumber"/>
              <w:contextualSpacing/>
              <w:rPr>
                <w:color w:val="F2F2F2" w:themeColor="background2" w:themeShade="F2"/>
              </w:rPr>
            </w:pPr>
          </w:p>
        </w:tc>
        <w:tc>
          <w:tcPr>
            <w:tcW w:w="8539" w:type="dxa"/>
            <w:shd w:val="clear" w:color="auto" w:fill="B3D0D5"/>
          </w:tcPr>
          <w:p w14:paraId="02022DAA" w14:textId="74C994DD" w:rsidR="008A13DE" w:rsidRDefault="008A13DE" w:rsidP="00950BF6">
            <w:pPr>
              <w:pStyle w:val="Question"/>
              <w:spacing w:before="0" w:after="0"/>
              <w:contextualSpacing/>
            </w:pPr>
            <w:r>
              <w:t xml:space="preserve">In relation to </w:t>
            </w:r>
            <w:r>
              <w:rPr>
                <w:b/>
                <w:bCs/>
              </w:rPr>
              <w:t>5.3 limiting unilateral and retrospective variations</w:t>
            </w:r>
            <w:r w:rsidRPr="001F2FBC">
              <w:t xml:space="preserve">, </w:t>
            </w:r>
            <w:r>
              <w:t>which of the options do you agree with, and why?</w:t>
            </w:r>
          </w:p>
        </w:tc>
      </w:tr>
      <w:tr w:rsidR="008A13DE" w:rsidRPr="00133B22" w14:paraId="01AAD0FD" w14:textId="77777777" w:rsidTr="00AA1652">
        <w:trPr>
          <w:cantSplit/>
          <w:trHeight w:val="286"/>
        </w:trPr>
        <w:tc>
          <w:tcPr>
            <w:tcW w:w="531" w:type="dxa"/>
            <w:shd w:val="clear" w:color="auto" w:fill="006272"/>
            <w:vAlign w:val="center"/>
          </w:tcPr>
          <w:p w14:paraId="30AF3788" w14:textId="77777777" w:rsidR="008A13DE" w:rsidRPr="00133B22" w:rsidRDefault="008A13DE" w:rsidP="00950BF6">
            <w:pPr>
              <w:pStyle w:val="Questionnumber"/>
              <w:contextualSpacing/>
            </w:pPr>
          </w:p>
        </w:tc>
        <w:tc>
          <w:tcPr>
            <w:tcW w:w="8539" w:type="dxa"/>
            <w:shd w:val="clear" w:color="auto" w:fill="B3D0D5"/>
          </w:tcPr>
          <w:p w14:paraId="4CF22CBB" w14:textId="42DAF2CC" w:rsidR="008A13DE" w:rsidRPr="00531897" w:rsidRDefault="008A13DE" w:rsidP="00950BF6">
            <w:pPr>
              <w:pStyle w:val="Numbered"/>
              <w:numPr>
                <w:ilvl w:val="0"/>
                <w:numId w:val="0"/>
              </w:numPr>
              <w:spacing w:before="0"/>
              <w:contextualSpacing/>
            </w:pPr>
            <w:r>
              <w:t xml:space="preserve">Do you have any comments on the preliminary assessment of the options against the criteria in </w:t>
            </w:r>
            <w:r>
              <w:rPr>
                <w:b/>
                <w:bCs/>
              </w:rPr>
              <w:t>Chapter 5</w:t>
            </w:r>
            <w:r w:rsidRPr="00531897">
              <w:t>?</w:t>
            </w:r>
          </w:p>
        </w:tc>
      </w:tr>
      <w:tr w:rsidR="009614C3" w:rsidRPr="00133B22" w14:paraId="3D15DE0F" w14:textId="77777777" w:rsidTr="00AA1652">
        <w:trPr>
          <w:cantSplit/>
        </w:trPr>
        <w:tc>
          <w:tcPr>
            <w:tcW w:w="531" w:type="dxa"/>
            <w:shd w:val="clear" w:color="auto" w:fill="006272"/>
            <w:vAlign w:val="center"/>
          </w:tcPr>
          <w:p w14:paraId="1A8B5D66" w14:textId="77777777" w:rsidR="009614C3" w:rsidRPr="00133B22" w:rsidRDefault="009614C3" w:rsidP="00950BF6">
            <w:pPr>
              <w:pStyle w:val="Questionnumber"/>
              <w:contextualSpacing/>
            </w:pPr>
          </w:p>
        </w:tc>
        <w:tc>
          <w:tcPr>
            <w:tcW w:w="8539" w:type="dxa"/>
            <w:shd w:val="clear" w:color="auto" w:fill="B3D0D5"/>
          </w:tcPr>
          <w:p w14:paraId="6F8ADB8F" w14:textId="4F245FDA" w:rsidR="009614C3" w:rsidRPr="00616F24" w:rsidRDefault="009614C3" w:rsidP="00950BF6">
            <w:pPr>
              <w:pStyle w:val="Question"/>
              <w:spacing w:before="0" w:after="0"/>
              <w:contextualSpacing/>
            </w:pPr>
            <w:r w:rsidRPr="00616F24">
              <w:t xml:space="preserve">In relation to </w:t>
            </w:r>
            <w:r w:rsidRPr="00616F24">
              <w:rPr>
                <w:b/>
                <w:bCs/>
              </w:rPr>
              <w:t xml:space="preserve">6.2 Changes in supply chain processes, </w:t>
            </w:r>
            <w:r w:rsidRPr="00616F24">
              <w:t xml:space="preserve">which option do you think is best, </w:t>
            </w:r>
            <w:r>
              <w:t xml:space="preserve">and </w:t>
            </w:r>
            <w:r w:rsidRPr="00616F24">
              <w:t>why?</w:t>
            </w:r>
            <w:r>
              <w:br/>
              <w:t>Are suppliers being pressured to use a retailer’s own logistics services and if so, what is the impact?</w:t>
            </w:r>
          </w:p>
        </w:tc>
      </w:tr>
      <w:tr w:rsidR="009614C3" w:rsidRPr="00133B22" w14:paraId="57D0A136" w14:textId="77777777" w:rsidTr="00AA1652">
        <w:trPr>
          <w:cantSplit/>
        </w:trPr>
        <w:tc>
          <w:tcPr>
            <w:tcW w:w="531" w:type="dxa"/>
            <w:shd w:val="clear" w:color="auto" w:fill="006272"/>
            <w:vAlign w:val="center"/>
          </w:tcPr>
          <w:p w14:paraId="0AF4A883" w14:textId="77777777" w:rsidR="009614C3" w:rsidRPr="00133B22" w:rsidRDefault="009614C3" w:rsidP="00950BF6">
            <w:pPr>
              <w:pStyle w:val="Questionnumber"/>
              <w:contextualSpacing/>
            </w:pPr>
          </w:p>
        </w:tc>
        <w:tc>
          <w:tcPr>
            <w:tcW w:w="8539" w:type="dxa"/>
            <w:shd w:val="clear" w:color="auto" w:fill="B3D0D5"/>
          </w:tcPr>
          <w:p w14:paraId="66F172DE" w14:textId="7EB3E190" w:rsidR="009614C3" w:rsidRPr="00616F24" w:rsidRDefault="009614C3" w:rsidP="00950BF6">
            <w:pPr>
              <w:pStyle w:val="Question"/>
              <w:spacing w:before="0" w:after="0"/>
              <w:contextualSpacing/>
            </w:pPr>
            <w:r w:rsidRPr="00616F24">
              <w:t xml:space="preserve">In relation to </w:t>
            </w:r>
            <w:r>
              <w:rPr>
                <w:b/>
                <w:bCs/>
              </w:rPr>
              <w:t>6.3 fresh produce standards and quality specifications,</w:t>
            </w:r>
            <w:r w:rsidRPr="00616F24">
              <w:t xml:space="preserve"> </w:t>
            </w:r>
            <w:r>
              <w:t xml:space="preserve">do you think the Code should include specific provisions about fresh produce and if yes, please explain what you think it should include? </w:t>
            </w:r>
          </w:p>
        </w:tc>
      </w:tr>
      <w:tr w:rsidR="009614C3" w:rsidRPr="00133B22" w14:paraId="1347F108" w14:textId="77777777" w:rsidTr="00AA1652">
        <w:trPr>
          <w:cantSplit/>
        </w:trPr>
        <w:tc>
          <w:tcPr>
            <w:tcW w:w="531" w:type="dxa"/>
            <w:shd w:val="clear" w:color="auto" w:fill="006272"/>
            <w:vAlign w:val="center"/>
          </w:tcPr>
          <w:p w14:paraId="79C58A67" w14:textId="77777777" w:rsidR="009614C3" w:rsidRPr="00133B22" w:rsidRDefault="009614C3" w:rsidP="00950BF6">
            <w:pPr>
              <w:pStyle w:val="Questionnumber"/>
              <w:contextualSpacing/>
            </w:pPr>
          </w:p>
        </w:tc>
        <w:tc>
          <w:tcPr>
            <w:tcW w:w="8539" w:type="dxa"/>
            <w:shd w:val="clear" w:color="auto" w:fill="B3D0D5"/>
          </w:tcPr>
          <w:p w14:paraId="2A5B7FF0" w14:textId="63CC8F76" w:rsidR="009614C3" w:rsidRPr="00616F24" w:rsidRDefault="009614C3" w:rsidP="00950BF6">
            <w:pPr>
              <w:pStyle w:val="Question"/>
              <w:spacing w:before="0" w:after="0"/>
              <w:contextualSpacing/>
            </w:pPr>
            <w:r w:rsidRPr="00616F24">
              <w:t xml:space="preserve">In relation to </w:t>
            </w:r>
            <w:r w:rsidRPr="00616F24">
              <w:rPr>
                <w:b/>
                <w:bCs/>
              </w:rPr>
              <w:t xml:space="preserve">6.4 Obligations in relation to ranging, shelf allocation, and delisting, </w:t>
            </w:r>
            <w:r w:rsidRPr="00616F24">
              <w:t xml:space="preserve">which option do you think is best, </w:t>
            </w:r>
            <w:r>
              <w:t xml:space="preserve">and </w:t>
            </w:r>
            <w:r w:rsidRPr="00616F24">
              <w:t>why?</w:t>
            </w:r>
          </w:p>
        </w:tc>
      </w:tr>
      <w:tr w:rsidR="009614C3" w:rsidRPr="00133B22" w14:paraId="562B0DC0" w14:textId="77777777" w:rsidTr="00AA1652">
        <w:trPr>
          <w:cantSplit/>
        </w:trPr>
        <w:tc>
          <w:tcPr>
            <w:tcW w:w="531" w:type="dxa"/>
            <w:shd w:val="clear" w:color="auto" w:fill="006272"/>
            <w:vAlign w:val="center"/>
          </w:tcPr>
          <w:p w14:paraId="10453495" w14:textId="77777777" w:rsidR="009614C3" w:rsidRPr="00133B22" w:rsidRDefault="009614C3" w:rsidP="00950BF6">
            <w:pPr>
              <w:pStyle w:val="Questionnumber"/>
              <w:contextualSpacing/>
            </w:pPr>
          </w:p>
        </w:tc>
        <w:tc>
          <w:tcPr>
            <w:tcW w:w="8539" w:type="dxa"/>
            <w:shd w:val="clear" w:color="auto" w:fill="B3D0D5"/>
          </w:tcPr>
          <w:p w14:paraId="49FEFC8A" w14:textId="38BC3671" w:rsidR="009614C3" w:rsidRPr="004E308A" w:rsidRDefault="009614C3" w:rsidP="00950BF6">
            <w:pPr>
              <w:pStyle w:val="Question"/>
              <w:spacing w:before="0" w:after="0"/>
              <w:contextualSpacing/>
            </w:pPr>
            <w:r w:rsidRPr="00616F24">
              <w:t xml:space="preserve">In relation to </w:t>
            </w:r>
            <w:r w:rsidRPr="00616F24">
              <w:rPr>
                <w:b/>
                <w:bCs/>
              </w:rPr>
              <w:t>6.</w:t>
            </w:r>
            <w:r>
              <w:rPr>
                <w:b/>
                <w:bCs/>
              </w:rPr>
              <w:t>5</w:t>
            </w:r>
            <w:r w:rsidRPr="00616F24">
              <w:rPr>
                <w:b/>
                <w:bCs/>
              </w:rPr>
              <w:t xml:space="preserve"> </w:t>
            </w:r>
            <w:r>
              <w:rPr>
                <w:b/>
                <w:bCs/>
              </w:rPr>
              <w:t>Other o</w:t>
            </w:r>
            <w:r w:rsidRPr="00616F24">
              <w:rPr>
                <w:b/>
                <w:bCs/>
              </w:rPr>
              <w:t>bligations</w:t>
            </w:r>
            <w:r>
              <w:rPr>
                <w:b/>
                <w:bCs/>
              </w:rPr>
              <w:t>,</w:t>
            </w:r>
            <w:r>
              <w:t xml:space="preserve"> which option do you think is best, and why? </w:t>
            </w:r>
            <w:r>
              <w:br/>
              <w:t xml:space="preserve">Please comment on the range of different areas – confidential information, intellectual property, business disruption, freedom of association, </w:t>
            </w:r>
            <w:r w:rsidR="001D6A7F">
              <w:t>whistle-blower</w:t>
            </w:r>
            <w:r>
              <w:t xml:space="preserve"> protections, pressure </w:t>
            </w:r>
            <w:r w:rsidRPr="004A1B14">
              <w:t>to opt out of wholesale supply arrangements</w:t>
            </w:r>
            <w:r>
              <w:t xml:space="preserve">, </w:t>
            </w:r>
            <w:r w:rsidR="001D6A7F">
              <w:t>e</w:t>
            </w:r>
            <w:r w:rsidRPr="004A1B14">
              <w:t>xclusive supply clauses and ‘most favoured nation’ price clauses</w:t>
            </w:r>
            <w:r w:rsidR="00A4744B">
              <w:t>.</w:t>
            </w:r>
          </w:p>
        </w:tc>
      </w:tr>
      <w:tr w:rsidR="009614C3" w:rsidRPr="00133B22" w14:paraId="7AE4FED0" w14:textId="77777777" w:rsidTr="00AA1652">
        <w:trPr>
          <w:cantSplit/>
        </w:trPr>
        <w:tc>
          <w:tcPr>
            <w:tcW w:w="531" w:type="dxa"/>
            <w:shd w:val="clear" w:color="auto" w:fill="006272"/>
            <w:vAlign w:val="center"/>
          </w:tcPr>
          <w:p w14:paraId="7C02F85A" w14:textId="77777777" w:rsidR="009614C3" w:rsidRPr="00133B22" w:rsidRDefault="009614C3" w:rsidP="00950BF6">
            <w:pPr>
              <w:pStyle w:val="Questionnumber"/>
              <w:contextualSpacing/>
            </w:pPr>
          </w:p>
        </w:tc>
        <w:tc>
          <w:tcPr>
            <w:tcW w:w="8539" w:type="dxa"/>
            <w:shd w:val="clear" w:color="auto" w:fill="B3D0D5"/>
          </w:tcPr>
          <w:p w14:paraId="18FE9D4B" w14:textId="77777777" w:rsidR="009614C3" w:rsidRDefault="009614C3" w:rsidP="00950BF6">
            <w:pPr>
              <w:pStyle w:val="Question"/>
              <w:spacing w:before="0" w:after="0"/>
              <w:contextualSpacing/>
            </w:pPr>
            <w:r>
              <w:t>Do you have any other comments about issues relating to product supply and placement?</w:t>
            </w:r>
          </w:p>
        </w:tc>
      </w:tr>
      <w:tr w:rsidR="009614C3" w:rsidRPr="00133B22" w14:paraId="674265EB" w14:textId="77777777" w:rsidTr="00AA1652">
        <w:trPr>
          <w:cantSplit/>
          <w:trHeight w:val="286"/>
        </w:trPr>
        <w:tc>
          <w:tcPr>
            <w:tcW w:w="531" w:type="dxa"/>
            <w:shd w:val="clear" w:color="auto" w:fill="006272"/>
            <w:vAlign w:val="center"/>
          </w:tcPr>
          <w:p w14:paraId="4E8FC0B2" w14:textId="77777777" w:rsidR="009614C3" w:rsidRPr="00133B22" w:rsidRDefault="009614C3" w:rsidP="00950BF6">
            <w:pPr>
              <w:pStyle w:val="Questionnumber"/>
              <w:contextualSpacing/>
            </w:pPr>
          </w:p>
        </w:tc>
        <w:tc>
          <w:tcPr>
            <w:tcW w:w="8539" w:type="dxa"/>
            <w:shd w:val="clear" w:color="auto" w:fill="B3D0D5"/>
          </w:tcPr>
          <w:p w14:paraId="7BE04EF7" w14:textId="77777777" w:rsidR="009614C3" w:rsidRPr="00531897" w:rsidRDefault="009614C3" w:rsidP="00950BF6">
            <w:pPr>
              <w:pStyle w:val="Numbered"/>
              <w:numPr>
                <w:ilvl w:val="0"/>
                <w:numId w:val="0"/>
              </w:numPr>
              <w:spacing w:before="0"/>
              <w:contextualSpacing/>
            </w:pPr>
            <w:r>
              <w:t xml:space="preserve">Do you have any comments on the preliminary assessment of the options against the criteria in </w:t>
            </w:r>
            <w:r>
              <w:rPr>
                <w:b/>
                <w:bCs/>
              </w:rPr>
              <w:t>Chapter 6</w:t>
            </w:r>
            <w:r w:rsidRPr="00531897">
              <w:t>?</w:t>
            </w:r>
          </w:p>
        </w:tc>
      </w:tr>
      <w:tr w:rsidR="00057FF9" w:rsidRPr="00133B22" w14:paraId="437E62DA" w14:textId="77777777" w:rsidTr="00AA1652">
        <w:trPr>
          <w:cantSplit/>
        </w:trPr>
        <w:tc>
          <w:tcPr>
            <w:tcW w:w="531" w:type="dxa"/>
            <w:shd w:val="clear" w:color="auto" w:fill="006272"/>
            <w:vAlign w:val="center"/>
          </w:tcPr>
          <w:p w14:paraId="367A3A76" w14:textId="77777777" w:rsidR="00057FF9" w:rsidRPr="00133B22" w:rsidRDefault="00057FF9" w:rsidP="00950BF6">
            <w:pPr>
              <w:pStyle w:val="Questionnumber"/>
              <w:contextualSpacing/>
            </w:pPr>
          </w:p>
        </w:tc>
        <w:tc>
          <w:tcPr>
            <w:tcW w:w="8539" w:type="dxa"/>
            <w:shd w:val="clear" w:color="auto" w:fill="B3D0D5"/>
          </w:tcPr>
          <w:p w14:paraId="0A218881" w14:textId="3D8AD283" w:rsidR="00057FF9" w:rsidRDefault="00057FF9" w:rsidP="00950BF6">
            <w:pPr>
              <w:pStyle w:val="Question"/>
              <w:spacing w:before="0" w:after="0"/>
              <w:contextualSpacing/>
            </w:pPr>
            <w:r>
              <w:rPr>
                <w:bCs/>
              </w:rPr>
              <w:t xml:space="preserve">In relation to </w:t>
            </w:r>
            <w:r w:rsidRPr="00EF2ADF">
              <w:rPr>
                <w:b/>
              </w:rPr>
              <w:t>7.2 Payment terms and set-offs</w:t>
            </w:r>
            <w:r w:rsidRPr="00EF2ADF">
              <w:rPr>
                <w:bCs/>
              </w:rPr>
              <w:t xml:space="preserve">, </w:t>
            </w:r>
            <w:r>
              <w:t xml:space="preserve">which </w:t>
            </w:r>
            <w:r w:rsidRPr="00616F24">
              <w:t xml:space="preserve">option do you think is best, </w:t>
            </w:r>
            <w:r>
              <w:t xml:space="preserve">and </w:t>
            </w:r>
            <w:r w:rsidRPr="00616F24">
              <w:t>why?</w:t>
            </w:r>
            <w:r>
              <w:t xml:space="preserve"> </w:t>
            </w:r>
          </w:p>
        </w:tc>
      </w:tr>
      <w:tr w:rsidR="00057FF9" w:rsidRPr="00133B22" w14:paraId="497600CD" w14:textId="77777777" w:rsidTr="00AA1652">
        <w:trPr>
          <w:cantSplit/>
        </w:trPr>
        <w:tc>
          <w:tcPr>
            <w:tcW w:w="531" w:type="dxa"/>
            <w:shd w:val="clear" w:color="auto" w:fill="006272"/>
            <w:vAlign w:val="center"/>
          </w:tcPr>
          <w:p w14:paraId="62A3228E" w14:textId="77777777" w:rsidR="00057FF9" w:rsidRPr="00133B22" w:rsidRDefault="00057FF9" w:rsidP="00950BF6">
            <w:pPr>
              <w:pStyle w:val="Questionnumber"/>
              <w:contextualSpacing/>
            </w:pPr>
          </w:p>
        </w:tc>
        <w:tc>
          <w:tcPr>
            <w:tcW w:w="8539" w:type="dxa"/>
            <w:shd w:val="clear" w:color="auto" w:fill="B3D0D5"/>
          </w:tcPr>
          <w:p w14:paraId="277187DD" w14:textId="77777777" w:rsidR="00057FF9" w:rsidRPr="00B17335" w:rsidRDefault="00057FF9" w:rsidP="00950BF6">
            <w:pPr>
              <w:pStyle w:val="Question"/>
              <w:spacing w:before="0" w:after="0"/>
              <w:contextualSpacing/>
            </w:pPr>
            <w:r>
              <w:t xml:space="preserve">In relation to </w:t>
            </w:r>
            <w:r>
              <w:rPr>
                <w:b/>
              </w:rPr>
              <w:t>7.3 Responses to price increases</w:t>
            </w:r>
            <w:r w:rsidRPr="00EF2ADF">
              <w:rPr>
                <w:bCs/>
              </w:rPr>
              <w:t>,</w:t>
            </w:r>
            <w:r>
              <w:rPr>
                <w:bCs/>
              </w:rPr>
              <w:t xml:space="preserve"> </w:t>
            </w:r>
            <w:r>
              <w:t xml:space="preserve">which </w:t>
            </w:r>
            <w:r w:rsidRPr="00616F24">
              <w:t xml:space="preserve">option do you think is best, </w:t>
            </w:r>
            <w:r>
              <w:t xml:space="preserve">and </w:t>
            </w:r>
            <w:r w:rsidRPr="00616F24">
              <w:t>why?</w:t>
            </w:r>
          </w:p>
        </w:tc>
      </w:tr>
      <w:tr w:rsidR="00057FF9" w:rsidRPr="00133B22" w14:paraId="250E94F1" w14:textId="77777777" w:rsidTr="00AA1652">
        <w:trPr>
          <w:cantSplit/>
        </w:trPr>
        <w:tc>
          <w:tcPr>
            <w:tcW w:w="531" w:type="dxa"/>
            <w:shd w:val="clear" w:color="auto" w:fill="006272"/>
            <w:vAlign w:val="center"/>
          </w:tcPr>
          <w:p w14:paraId="4F09984E" w14:textId="77777777" w:rsidR="00057FF9" w:rsidRPr="00133B22" w:rsidRDefault="00057FF9" w:rsidP="00950BF6">
            <w:pPr>
              <w:pStyle w:val="Questionnumber"/>
              <w:contextualSpacing/>
            </w:pPr>
          </w:p>
        </w:tc>
        <w:tc>
          <w:tcPr>
            <w:tcW w:w="8539" w:type="dxa"/>
            <w:shd w:val="clear" w:color="auto" w:fill="B3D0D5"/>
          </w:tcPr>
          <w:p w14:paraId="3E24CE64" w14:textId="4F73FFED" w:rsidR="00057FF9" w:rsidRDefault="00057FF9" w:rsidP="00950BF6">
            <w:pPr>
              <w:pStyle w:val="Question"/>
              <w:spacing w:before="0" w:after="0"/>
              <w:contextualSpacing/>
            </w:pPr>
            <w:r>
              <w:t xml:space="preserve">In relation to </w:t>
            </w:r>
            <w:r>
              <w:rPr>
                <w:b/>
              </w:rPr>
              <w:t>7.4 Payments for shrinkage and wastage</w:t>
            </w:r>
            <w:r w:rsidRPr="00EF2ADF">
              <w:rPr>
                <w:bCs/>
              </w:rPr>
              <w:t>,</w:t>
            </w:r>
            <w:r>
              <w:rPr>
                <w:bCs/>
              </w:rPr>
              <w:t xml:space="preserve"> </w:t>
            </w:r>
            <w:r>
              <w:t xml:space="preserve">which </w:t>
            </w:r>
            <w:r w:rsidRPr="00616F24">
              <w:t xml:space="preserve">option do you think is best, </w:t>
            </w:r>
            <w:r>
              <w:t xml:space="preserve">and </w:t>
            </w:r>
            <w:r w:rsidRPr="00616F24">
              <w:t>why?</w:t>
            </w:r>
          </w:p>
        </w:tc>
      </w:tr>
      <w:tr w:rsidR="00057FF9" w:rsidRPr="00EF2ADF" w14:paraId="73001194" w14:textId="77777777" w:rsidTr="00AA1652">
        <w:trPr>
          <w:cantSplit/>
        </w:trPr>
        <w:tc>
          <w:tcPr>
            <w:tcW w:w="531" w:type="dxa"/>
            <w:shd w:val="clear" w:color="auto" w:fill="006272"/>
            <w:vAlign w:val="center"/>
          </w:tcPr>
          <w:p w14:paraId="3B74A762" w14:textId="77777777" w:rsidR="00057FF9" w:rsidRPr="00133B22" w:rsidRDefault="00057FF9" w:rsidP="00950BF6">
            <w:pPr>
              <w:pStyle w:val="Questionnumber"/>
              <w:contextualSpacing/>
            </w:pPr>
          </w:p>
        </w:tc>
        <w:tc>
          <w:tcPr>
            <w:tcW w:w="8539" w:type="dxa"/>
            <w:shd w:val="clear" w:color="auto" w:fill="B3D0D5"/>
          </w:tcPr>
          <w:p w14:paraId="05463F89" w14:textId="302DFD0B" w:rsidR="00057FF9" w:rsidRPr="00EF2ADF" w:rsidRDefault="00057FF9" w:rsidP="00950BF6">
            <w:pPr>
              <w:pStyle w:val="Question"/>
              <w:spacing w:before="0" w:after="0"/>
              <w:contextualSpacing/>
            </w:pPr>
            <w:r>
              <w:t xml:space="preserve">In relation to </w:t>
            </w:r>
            <w:r>
              <w:rPr>
                <w:b/>
                <w:bCs/>
              </w:rPr>
              <w:t>7.5 Payments for retailer’s business activities, product placement, and as a condition of being a supplier</w:t>
            </w:r>
            <w:r w:rsidRPr="00EF2ADF">
              <w:t xml:space="preserve">, </w:t>
            </w:r>
            <w:r>
              <w:t xml:space="preserve">which </w:t>
            </w:r>
            <w:r w:rsidRPr="00616F24">
              <w:t xml:space="preserve">option do you think is best, </w:t>
            </w:r>
            <w:r>
              <w:t xml:space="preserve">and </w:t>
            </w:r>
            <w:r w:rsidRPr="00616F24">
              <w:t>why?</w:t>
            </w:r>
          </w:p>
        </w:tc>
      </w:tr>
      <w:tr w:rsidR="00057FF9" w14:paraId="615DF86F" w14:textId="77777777" w:rsidTr="00AA1652">
        <w:trPr>
          <w:cantSplit/>
        </w:trPr>
        <w:tc>
          <w:tcPr>
            <w:tcW w:w="531" w:type="dxa"/>
            <w:shd w:val="clear" w:color="auto" w:fill="006272"/>
            <w:vAlign w:val="center"/>
          </w:tcPr>
          <w:p w14:paraId="64AF5E6A" w14:textId="77777777" w:rsidR="00057FF9" w:rsidRPr="00133B22" w:rsidRDefault="00057FF9" w:rsidP="00950BF6">
            <w:pPr>
              <w:pStyle w:val="Questionnumber"/>
              <w:contextualSpacing/>
            </w:pPr>
          </w:p>
        </w:tc>
        <w:tc>
          <w:tcPr>
            <w:tcW w:w="8539" w:type="dxa"/>
            <w:shd w:val="clear" w:color="auto" w:fill="B3D0D5"/>
          </w:tcPr>
          <w:p w14:paraId="36C5E7E4" w14:textId="56816047" w:rsidR="00057FF9" w:rsidRDefault="00057FF9" w:rsidP="00950BF6">
            <w:pPr>
              <w:pStyle w:val="Question"/>
              <w:spacing w:before="0" w:after="0"/>
              <w:contextualSpacing/>
            </w:pPr>
            <w:r>
              <w:t xml:space="preserve">In relation to </w:t>
            </w:r>
            <w:r>
              <w:rPr>
                <w:b/>
                <w:bCs/>
              </w:rPr>
              <w:t>7.6 Payments for promotions and promotional buying</w:t>
            </w:r>
            <w:r w:rsidRPr="00EF2ADF">
              <w:rPr>
                <w:bCs/>
              </w:rPr>
              <w:t>,</w:t>
            </w:r>
            <w:r>
              <w:rPr>
                <w:bCs/>
              </w:rPr>
              <w:t xml:space="preserve"> </w:t>
            </w:r>
            <w:r>
              <w:t xml:space="preserve">which </w:t>
            </w:r>
            <w:r w:rsidRPr="00616F24">
              <w:t xml:space="preserve">option do you think is best, </w:t>
            </w:r>
            <w:r>
              <w:t xml:space="preserve">and </w:t>
            </w:r>
            <w:r w:rsidRPr="00616F24">
              <w:t>why?</w:t>
            </w:r>
            <w:r>
              <w:br/>
              <w:t>What are your views on promotional buying and investment buying?</w:t>
            </w:r>
          </w:p>
        </w:tc>
      </w:tr>
      <w:tr w:rsidR="00057FF9" w:rsidRPr="00133B22" w14:paraId="0FA5D26D" w14:textId="77777777" w:rsidTr="00AA1652">
        <w:trPr>
          <w:cantSplit/>
        </w:trPr>
        <w:tc>
          <w:tcPr>
            <w:tcW w:w="531" w:type="dxa"/>
            <w:shd w:val="clear" w:color="auto" w:fill="006272"/>
            <w:vAlign w:val="center"/>
          </w:tcPr>
          <w:p w14:paraId="43DAF438" w14:textId="77777777" w:rsidR="00057FF9" w:rsidRPr="00133B22" w:rsidRDefault="00057FF9" w:rsidP="00950BF6">
            <w:pPr>
              <w:pStyle w:val="Questionnumber"/>
              <w:contextualSpacing/>
            </w:pPr>
          </w:p>
        </w:tc>
        <w:tc>
          <w:tcPr>
            <w:tcW w:w="8539" w:type="dxa"/>
            <w:shd w:val="clear" w:color="auto" w:fill="B3D0D5"/>
          </w:tcPr>
          <w:p w14:paraId="41D7D226" w14:textId="7F6DA473" w:rsidR="00057FF9" w:rsidRPr="00B76C14" w:rsidRDefault="00057FF9" w:rsidP="00950BF6">
            <w:pPr>
              <w:pStyle w:val="Question"/>
              <w:spacing w:before="0" w:after="0"/>
              <w:contextualSpacing/>
            </w:pPr>
            <w:r w:rsidRPr="00B76C14">
              <w:t xml:space="preserve">Do you think requests from retailers for payments for data </w:t>
            </w:r>
            <w:r>
              <w:t xml:space="preserve">services </w:t>
            </w:r>
            <w:r w:rsidRPr="00B76C14">
              <w:t>is an issue</w:t>
            </w:r>
            <w:r>
              <w:t xml:space="preserve"> and if so, why? </w:t>
            </w:r>
          </w:p>
        </w:tc>
      </w:tr>
      <w:tr w:rsidR="00057FF9" w:rsidRPr="00133B22" w14:paraId="3ED7AEB8" w14:textId="77777777" w:rsidTr="00AA1652">
        <w:trPr>
          <w:cantSplit/>
        </w:trPr>
        <w:tc>
          <w:tcPr>
            <w:tcW w:w="531" w:type="dxa"/>
            <w:shd w:val="clear" w:color="auto" w:fill="006272"/>
            <w:vAlign w:val="center"/>
          </w:tcPr>
          <w:p w14:paraId="01C8F08B" w14:textId="77777777" w:rsidR="00057FF9" w:rsidRPr="00133B22" w:rsidRDefault="00057FF9" w:rsidP="00950BF6">
            <w:pPr>
              <w:pStyle w:val="Questionnumber"/>
              <w:contextualSpacing/>
            </w:pPr>
          </w:p>
        </w:tc>
        <w:tc>
          <w:tcPr>
            <w:tcW w:w="8539" w:type="dxa"/>
            <w:shd w:val="clear" w:color="auto" w:fill="B3D0D5"/>
          </w:tcPr>
          <w:p w14:paraId="14C0ADC9" w14:textId="77777777" w:rsidR="00057FF9" w:rsidRDefault="00057FF9" w:rsidP="00950BF6">
            <w:pPr>
              <w:pStyle w:val="Question"/>
              <w:spacing w:before="0" w:after="0"/>
              <w:contextualSpacing/>
            </w:pPr>
            <w:r>
              <w:t xml:space="preserve">Are there any other instances where requests for payments should be limited? If so, what are the issues and how should they be addressed in a Code? </w:t>
            </w:r>
          </w:p>
        </w:tc>
      </w:tr>
      <w:tr w:rsidR="00057FF9" w:rsidRPr="00133B22" w14:paraId="284E424F" w14:textId="77777777" w:rsidTr="00AA1652">
        <w:trPr>
          <w:cantSplit/>
          <w:trHeight w:val="286"/>
        </w:trPr>
        <w:tc>
          <w:tcPr>
            <w:tcW w:w="531" w:type="dxa"/>
            <w:shd w:val="clear" w:color="auto" w:fill="006272"/>
            <w:vAlign w:val="center"/>
          </w:tcPr>
          <w:p w14:paraId="7356AA3F" w14:textId="77777777" w:rsidR="00057FF9" w:rsidRPr="00133B22" w:rsidRDefault="00057FF9" w:rsidP="00950BF6">
            <w:pPr>
              <w:pStyle w:val="Questionnumber"/>
              <w:contextualSpacing/>
            </w:pPr>
          </w:p>
        </w:tc>
        <w:tc>
          <w:tcPr>
            <w:tcW w:w="8539" w:type="dxa"/>
            <w:shd w:val="clear" w:color="auto" w:fill="B3D0D5"/>
          </w:tcPr>
          <w:p w14:paraId="5ECE382F" w14:textId="77777777" w:rsidR="00057FF9" w:rsidRPr="00531897" w:rsidRDefault="00057FF9" w:rsidP="00950BF6">
            <w:pPr>
              <w:pStyle w:val="Numbered"/>
              <w:numPr>
                <w:ilvl w:val="0"/>
                <w:numId w:val="0"/>
              </w:numPr>
              <w:spacing w:before="0"/>
              <w:contextualSpacing/>
            </w:pPr>
            <w:r>
              <w:t xml:space="preserve">Do you have any comments on the preliminary assessment of the options against the criteria in </w:t>
            </w:r>
            <w:r>
              <w:rPr>
                <w:b/>
                <w:bCs/>
              </w:rPr>
              <w:t>Chapter 7</w:t>
            </w:r>
            <w:r w:rsidRPr="00531897">
              <w:t>?</w:t>
            </w:r>
          </w:p>
        </w:tc>
      </w:tr>
      <w:tr w:rsidR="009614C3" w:rsidRPr="00133B22" w14:paraId="0339497B" w14:textId="77777777" w:rsidTr="00AA1652">
        <w:trPr>
          <w:cantSplit/>
        </w:trPr>
        <w:tc>
          <w:tcPr>
            <w:tcW w:w="531" w:type="dxa"/>
            <w:shd w:val="clear" w:color="auto" w:fill="006272"/>
            <w:vAlign w:val="center"/>
          </w:tcPr>
          <w:p w14:paraId="4A2CB53E" w14:textId="77777777" w:rsidR="009614C3" w:rsidRPr="00133B22" w:rsidRDefault="009614C3" w:rsidP="00950BF6">
            <w:pPr>
              <w:pStyle w:val="Questionnumber"/>
              <w:contextualSpacing/>
            </w:pPr>
          </w:p>
        </w:tc>
        <w:tc>
          <w:tcPr>
            <w:tcW w:w="8539" w:type="dxa"/>
            <w:shd w:val="clear" w:color="auto" w:fill="B3D0D5"/>
          </w:tcPr>
          <w:p w14:paraId="3031D807" w14:textId="6B0319DC" w:rsidR="009614C3" w:rsidRPr="00D76438" w:rsidRDefault="009614C3" w:rsidP="00950BF6">
            <w:pPr>
              <w:pStyle w:val="Question"/>
              <w:spacing w:before="0" w:after="0"/>
              <w:contextualSpacing/>
            </w:pPr>
            <w:r>
              <w:t xml:space="preserve">Do you have any comments about the current state of dispute resolution </w:t>
            </w:r>
            <w:r w:rsidR="004C04F5">
              <w:t>(</w:t>
            </w:r>
            <w:r>
              <w:t>for example</w:t>
            </w:r>
            <w:r w:rsidR="004C04F5">
              <w:t>,</w:t>
            </w:r>
            <w:r>
              <w:t xml:space="preserve"> the processes that are used or the nature of disputes</w:t>
            </w:r>
            <w:r w:rsidR="004C04F5">
              <w:t>)</w:t>
            </w:r>
            <w:r>
              <w:t>?</w:t>
            </w:r>
          </w:p>
        </w:tc>
      </w:tr>
      <w:tr w:rsidR="009614C3" w:rsidRPr="00133B22" w14:paraId="1A7C55A0" w14:textId="77777777" w:rsidTr="00AA1652">
        <w:trPr>
          <w:cantSplit/>
        </w:trPr>
        <w:tc>
          <w:tcPr>
            <w:tcW w:w="531" w:type="dxa"/>
            <w:shd w:val="clear" w:color="auto" w:fill="006272"/>
            <w:vAlign w:val="center"/>
          </w:tcPr>
          <w:p w14:paraId="7B0AB013" w14:textId="77777777" w:rsidR="009614C3" w:rsidRPr="00133B22" w:rsidRDefault="009614C3" w:rsidP="00950BF6">
            <w:pPr>
              <w:pStyle w:val="Questionnumber"/>
              <w:contextualSpacing/>
            </w:pPr>
          </w:p>
        </w:tc>
        <w:tc>
          <w:tcPr>
            <w:tcW w:w="8539" w:type="dxa"/>
            <w:shd w:val="clear" w:color="auto" w:fill="B3D0D5"/>
          </w:tcPr>
          <w:p w14:paraId="6411D098" w14:textId="761FA684" w:rsidR="009614C3" w:rsidRDefault="00A07793" w:rsidP="00950BF6">
            <w:pPr>
              <w:pStyle w:val="Question"/>
              <w:spacing w:before="0" w:after="0"/>
              <w:contextualSpacing/>
            </w:pPr>
            <w:r>
              <w:t xml:space="preserve">Do you have any comments on the particular criteria in </w:t>
            </w:r>
            <w:r w:rsidRPr="00005630">
              <w:rPr>
                <w:b/>
                <w:bCs/>
              </w:rPr>
              <w:t>Chapter 8</w:t>
            </w:r>
            <w:r>
              <w:rPr>
                <w:b/>
                <w:bCs/>
              </w:rPr>
              <w:t>.</w:t>
            </w:r>
            <w:r w:rsidRPr="00005630">
              <w:rPr>
                <w:b/>
                <w:bCs/>
              </w:rPr>
              <w:t>5</w:t>
            </w:r>
            <w:r>
              <w:t xml:space="preserve"> used to undertake the preliminary assessment of options for dispute resolution?</w:t>
            </w:r>
          </w:p>
        </w:tc>
      </w:tr>
      <w:tr w:rsidR="009614C3" w:rsidRPr="00133B22" w14:paraId="2C333DC4" w14:textId="77777777" w:rsidTr="00AA1652">
        <w:trPr>
          <w:cantSplit/>
        </w:trPr>
        <w:tc>
          <w:tcPr>
            <w:tcW w:w="531" w:type="dxa"/>
            <w:shd w:val="clear" w:color="auto" w:fill="006272"/>
            <w:vAlign w:val="center"/>
          </w:tcPr>
          <w:p w14:paraId="7E8B7083" w14:textId="77777777" w:rsidR="009614C3" w:rsidRPr="00133B22" w:rsidRDefault="009614C3" w:rsidP="00950BF6">
            <w:pPr>
              <w:pStyle w:val="Questionnumber"/>
              <w:contextualSpacing/>
            </w:pPr>
          </w:p>
        </w:tc>
        <w:tc>
          <w:tcPr>
            <w:tcW w:w="8539" w:type="dxa"/>
            <w:shd w:val="clear" w:color="auto" w:fill="B3D0D5"/>
          </w:tcPr>
          <w:p w14:paraId="46685936" w14:textId="5E512C00" w:rsidR="00A07793" w:rsidRDefault="00A07793" w:rsidP="00950BF6">
            <w:pPr>
              <w:pStyle w:val="Question"/>
              <w:spacing w:before="0" w:after="0"/>
              <w:contextualSpacing/>
            </w:pPr>
            <w:r>
              <w:t xml:space="preserve">In relation to </w:t>
            </w:r>
            <w:r>
              <w:rPr>
                <w:b/>
                <w:bCs/>
              </w:rPr>
              <w:t xml:space="preserve">Chapter 8.6 </w:t>
            </w:r>
            <w:r w:rsidRPr="00A07793">
              <w:rPr>
                <w:b/>
                <w:bCs/>
              </w:rPr>
              <w:t>The options for New Zealand</w:t>
            </w:r>
            <w:r w:rsidRPr="00635DFF">
              <w:t>, w</w:t>
            </w:r>
            <w:r>
              <w:t>hich of the three options do you think will work best, and why?</w:t>
            </w:r>
          </w:p>
        </w:tc>
      </w:tr>
      <w:tr w:rsidR="009614C3" w:rsidRPr="00133B22" w14:paraId="375B9BA6" w14:textId="77777777" w:rsidTr="00AA1652">
        <w:trPr>
          <w:cantSplit/>
          <w:trHeight w:val="286"/>
        </w:trPr>
        <w:tc>
          <w:tcPr>
            <w:tcW w:w="531" w:type="dxa"/>
            <w:shd w:val="clear" w:color="auto" w:fill="006272"/>
            <w:vAlign w:val="center"/>
          </w:tcPr>
          <w:p w14:paraId="0410B37E" w14:textId="77777777" w:rsidR="009614C3" w:rsidRPr="00133B22" w:rsidRDefault="009614C3" w:rsidP="00950BF6">
            <w:pPr>
              <w:pStyle w:val="Questionnumber"/>
              <w:contextualSpacing/>
            </w:pPr>
          </w:p>
        </w:tc>
        <w:tc>
          <w:tcPr>
            <w:tcW w:w="8539" w:type="dxa"/>
            <w:shd w:val="clear" w:color="auto" w:fill="B3D0D5"/>
          </w:tcPr>
          <w:p w14:paraId="0FC2985B" w14:textId="77777777" w:rsidR="009614C3" w:rsidRPr="00531897" w:rsidRDefault="009614C3" w:rsidP="00950BF6">
            <w:pPr>
              <w:pStyle w:val="Numbered"/>
              <w:numPr>
                <w:ilvl w:val="0"/>
                <w:numId w:val="0"/>
              </w:numPr>
              <w:spacing w:before="0"/>
              <w:contextualSpacing/>
            </w:pPr>
            <w:r>
              <w:t xml:space="preserve">Do you have any comments on the preliminary assessment of the options against the criteria in </w:t>
            </w:r>
            <w:r>
              <w:rPr>
                <w:b/>
                <w:bCs/>
              </w:rPr>
              <w:t>Chapter 8</w:t>
            </w:r>
            <w:r w:rsidRPr="00531897">
              <w:t>?</w:t>
            </w:r>
          </w:p>
        </w:tc>
      </w:tr>
      <w:tr w:rsidR="004C04F5" w:rsidRPr="00133B22" w14:paraId="10F47594" w14:textId="77777777" w:rsidTr="00AA1652">
        <w:trPr>
          <w:cantSplit/>
          <w:trHeight w:val="286"/>
        </w:trPr>
        <w:tc>
          <w:tcPr>
            <w:tcW w:w="531" w:type="dxa"/>
            <w:shd w:val="clear" w:color="auto" w:fill="006272"/>
            <w:vAlign w:val="center"/>
          </w:tcPr>
          <w:p w14:paraId="0BE4433E" w14:textId="77777777" w:rsidR="004C04F5" w:rsidRPr="00133B22" w:rsidRDefault="004C04F5" w:rsidP="00950BF6">
            <w:pPr>
              <w:pStyle w:val="Questionnumber"/>
              <w:contextualSpacing/>
            </w:pPr>
          </w:p>
        </w:tc>
        <w:tc>
          <w:tcPr>
            <w:tcW w:w="8539" w:type="dxa"/>
            <w:shd w:val="clear" w:color="auto" w:fill="B3D0D5"/>
          </w:tcPr>
          <w:p w14:paraId="4EF465DC" w14:textId="5D8EA9C7" w:rsidR="004C04F5" w:rsidRDefault="004C04F5" w:rsidP="00950BF6">
            <w:pPr>
              <w:pStyle w:val="Numbered"/>
              <w:numPr>
                <w:ilvl w:val="0"/>
                <w:numId w:val="0"/>
              </w:numPr>
              <w:spacing w:before="0"/>
              <w:contextualSpacing/>
            </w:pPr>
            <w:r>
              <w:t>Do you have any views on the Australian and UK approaches to monitoring, compliance obligations, and enforcement, and which might be most effective for New Zealand?</w:t>
            </w:r>
          </w:p>
        </w:tc>
      </w:tr>
      <w:tr w:rsidR="00AA1652" w:rsidRPr="00133B22" w14:paraId="333603FA" w14:textId="77777777" w:rsidTr="00AA1652">
        <w:tblPrEx>
          <w:tblCellMar>
            <w:top w:w="0" w:type="dxa"/>
            <w:bottom w:w="0" w:type="dxa"/>
          </w:tblCellMar>
        </w:tblPrEx>
        <w:trPr>
          <w:cantSplit/>
        </w:trPr>
        <w:tc>
          <w:tcPr>
            <w:tcW w:w="531" w:type="dxa"/>
            <w:shd w:val="clear" w:color="auto" w:fill="006272"/>
            <w:vAlign w:val="center"/>
          </w:tcPr>
          <w:p w14:paraId="18E582AD" w14:textId="77777777" w:rsidR="00AA1652" w:rsidRPr="00133B22" w:rsidRDefault="00AA1652" w:rsidP="009865DD">
            <w:pPr>
              <w:pStyle w:val="Questionnumber"/>
            </w:pPr>
          </w:p>
        </w:tc>
        <w:tc>
          <w:tcPr>
            <w:tcW w:w="8539" w:type="dxa"/>
            <w:shd w:val="clear" w:color="auto" w:fill="B3D0D5"/>
          </w:tcPr>
          <w:p w14:paraId="37D2F60C" w14:textId="77777777" w:rsidR="00AA1652" w:rsidRDefault="00AA1652" w:rsidP="009865DD">
            <w:pPr>
              <w:pStyle w:val="Question"/>
            </w:pPr>
            <w:r>
              <w:t>Do you have any comments on the potential compliance costs (for suppliers and designated retailers) from the proposed content of the Code of Conduct?</w:t>
            </w:r>
          </w:p>
        </w:tc>
      </w:tr>
      <w:tr w:rsidR="00AA1652" w:rsidRPr="00133B22" w14:paraId="59A737FD" w14:textId="77777777" w:rsidTr="00AA1652">
        <w:tblPrEx>
          <w:tblCellMar>
            <w:top w:w="0" w:type="dxa"/>
            <w:bottom w:w="0" w:type="dxa"/>
          </w:tblCellMar>
        </w:tblPrEx>
        <w:trPr>
          <w:cantSplit/>
        </w:trPr>
        <w:tc>
          <w:tcPr>
            <w:tcW w:w="531" w:type="dxa"/>
            <w:shd w:val="clear" w:color="auto" w:fill="006272"/>
            <w:vAlign w:val="center"/>
          </w:tcPr>
          <w:p w14:paraId="3A434A96" w14:textId="77777777" w:rsidR="00AA1652" w:rsidRPr="00133B22" w:rsidRDefault="00AA1652" w:rsidP="009865DD">
            <w:pPr>
              <w:pStyle w:val="Questionnumber"/>
            </w:pPr>
          </w:p>
        </w:tc>
        <w:tc>
          <w:tcPr>
            <w:tcW w:w="8539" w:type="dxa"/>
            <w:shd w:val="clear" w:color="auto" w:fill="B3D0D5"/>
          </w:tcPr>
          <w:p w14:paraId="4291423F" w14:textId="77777777" w:rsidR="00AA1652" w:rsidRDefault="00AA1652" w:rsidP="009865DD">
            <w:pPr>
              <w:pStyle w:val="Question"/>
            </w:pPr>
            <w:r>
              <w:t xml:space="preserve">Do you have any views on how the Code should be implemented? </w:t>
            </w:r>
          </w:p>
        </w:tc>
      </w:tr>
      <w:tr w:rsidR="00AA1652" w:rsidRPr="00133B22" w14:paraId="70C3A0D6" w14:textId="77777777" w:rsidTr="00AA1652">
        <w:tblPrEx>
          <w:tblCellMar>
            <w:top w:w="0" w:type="dxa"/>
            <w:bottom w:w="0" w:type="dxa"/>
          </w:tblCellMar>
        </w:tblPrEx>
        <w:trPr>
          <w:cantSplit/>
        </w:trPr>
        <w:tc>
          <w:tcPr>
            <w:tcW w:w="531" w:type="dxa"/>
            <w:shd w:val="clear" w:color="auto" w:fill="006272"/>
            <w:vAlign w:val="center"/>
          </w:tcPr>
          <w:p w14:paraId="7F1BBB39" w14:textId="77777777" w:rsidR="00AA1652" w:rsidRPr="00133B22" w:rsidRDefault="00AA1652" w:rsidP="009865DD">
            <w:pPr>
              <w:pStyle w:val="Questionnumber"/>
            </w:pPr>
          </w:p>
        </w:tc>
        <w:tc>
          <w:tcPr>
            <w:tcW w:w="8539" w:type="dxa"/>
            <w:shd w:val="clear" w:color="auto" w:fill="B3D0D5"/>
          </w:tcPr>
          <w:p w14:paraId="65EA8380" w14:textId="77777777" w:rsidR="00AA1652" w:rsidRDefault="00AA1652" w:rsidP="009865DD">
            <w:pPr>
              <w:pStyle w:val="Question"/>
            </w:pPr>
            <w:r>
              <w:t xml:space="preserve">Do you have any other comments on the matters discussed in </w:t>
            </w:r>
            <w:r w:rsidRPr="00F4718E">
              <w:rPr>
                <w:b/>
                <w:bCs/>
              </w:rPr>
              <w:t>Chapter 9?</w:t>
            </w:r>
          </w:p>
        </w:tc>
      </w:tr>
    </w:tbl>
    <w:p w14:paraId="0AB873EE" w14:textId="31269164" w:rsidR="00F4718E" w:rsidRDefault="004C04F5" w:rsidP="000B7798">
      <w:pPr>
        <w:tabs>
          <w:tab w:val="left" w:pos="7551"/>
        </w:tabs>
      </w:pPr>
      <w:r>
        <w:tab/>
      </w:r>
    </w:p>
    <w:sectPr w:rsidR="00F4718E" w:rsidSect="00E222F4">
      <w:headerReference w:type="default" r:id="rId30"/>
      <w:pgSz w:w="11906" w:h="16838" w:code="9"/>
      <w:pgMar w:top="1418" w:right="1418" w:bottom="993"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0682" w14:textId="77777777" w:rsidR="0074633B" w:rsidRDefault="0074633B">
      <w:r>
        <w:separator/>
      </w:r>
    </w:p>
  </w:endnote>
  <w:endnote w:type="continuationSeparator" w:id="0">
    <w:p w14:paraId="3215BEFE" w14:textId="77777777" w:rsidR="0074633B" w:rsidRDefault="0074633B">
      <w:r>
        <w:continuationSeparator/>
      </w:r>
    </w:p>
  </w:endnote>
  <w:endnote w:type="continuationNotice" w:id="1">
    <w:p w14:paraId="2CB00534" w14:textId="77777777" w:rsidR="0074633B" w:rsidRDefault="00746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09D2" w14:textId="77777777" w:rsidR="005F4672" w:rsidRDefault="0074633B">
    <w:pPr>
      <w:jc w:val="right"/>
    </w:pPr>
  </w:p>
  <w:p w14:paraId="72DC8E5C" w14:textId="77777777" w:rsidR="005F4672" w:rsidRDefault="007463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276785"/>
      <w:docPartObj>
        <w:docPartGallery w:val="Page Numbers (Bottom of Page)"/>
        <w:docPartUnique/>
      </w:docPartObj>
    </w:sdtPr>
    <w:sdtEndPr>
      <w:rPr>
        <w:noProof/>
      </w:rPr>
    </w:sdtEndPr>
    <w:sdtContent>
      <w:p w14:paraId="34729FC4" w14:textId="77777777" w:rsidR="00433A7C" w:rsidRDefault="00433A7C">
        <w:pPr>
          <w:jc w:val="right"/>
        </w:pPr>
        <w:r>
          <w:fldChar w:fldCharType="begin"/>
        </w:r>
        <w:r>
          <w:instrText xml:space="preserve"> PAGE   \* MERGEFORMAT </w:instrText>
        </w:r>
        <w:r>
          <w:fldChar w:fldCharType="separate"/>
        </w:r>
        <w:r w:rsidR="00AA12B3">
          <w:rPr>
            <w:noProof/>
          </w:rPr>
          <w:t>2</w:t>
        </w:r>
        <w:r>
          <w:rPr>
            <w:noProof/>
          </w:rPr>
          <w:fldChar w:fldCharType="end"/>
        </w:r>
      </w:p>
    </w:sdtContent>
  </w:sdt>
  <w:p w14:paraId="2C67FD05" w14:textId="77777777" w:rsidR="00433A7C" w:rsidRPr="003B4FA5" w:rsidRDefault="00433A7C" w:rsidP="003B4F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61026"/>
      <w:docPartObj>
        <w:docPartGallery w:val="Page Numbers (Bottom of Page)"/>
        <w:docPartUnique/>
      </w:docPartObj>
    </w:sdtPr>
    <w:sdtEndPr>
      <w:rPr>
        <w:noProof/>
      </w:rPr>
    </w:sdtEndPr>
    <w:sdtContent>
      <w:p w14:paraId="1CAC707A" w14:textId="77777777" w:rsidR="00FB117B" w:rsidRDefault="00FB117B">
        <w:pPr>
          <w:jc w:val="right"/>
        </w:pPr>
        <w:r>
          <w:fldChar w:fldCharType="begin"/>
        </w:r>
        <w:r>
          <w:instrText xml:space="preserve"> PAGE   \* MERGEFORMAT </w:instrText>
        </w:r>
        <w:r>
          <w:fldChar w:fldCharType="separate"/>
        </w:r>
        <w:r w:rsidR="00AA12B3">
          <w:rPr>
            <w:noProof/>
          </w:rPr>
          <w:t>7</w:t>
        </w:r>
        <w:r>
          <w:rPr>
            <w:noProof/>
          </w:rPr>
          <w:fldChar w:fldCharType="end"/>
        </w:r>
      </w:p>
    </w:sdtContent>
  </w:sdt>
  <w:p w14:paraId="1E63C4F9" w14:textId="77777777" w:rsidR="00FB117B" w:rsidRPr="003B4FA5" w:rsidRDefault="00FB117B" w:rsidP="00057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53EE" w14:textId="77777777" w:rsidR="0074633B" w:rsidRDefault="0074633B">
      <w:r>
        <w:separator/>
      </w:r>
    </w:p>
  </w:footnote>
  <w:footnote w:type="continuationSeparator" w:id="0">
    <w:p w14:paraId="4731D7DF" w14:textId="77777777" w:rsidR="0074633B" w:rsidRDefault="0074633B">
      <w:r>
        <w:continuationSeparator/>
      </w:r>
    </w:p>
  </w:footnote>
  <w:footnote w:type="continuationNotice" w:id="1">
    <w:p w14:paraId="7577EE47" w14:textId="77777777" w:rsidR="0074633B" w:rsidRDefault="0074633B">
      <w:pPr>
        <w:spacing w:after="0" w:line="240" w:lineRule="auto"/>
      </w:pPr>
    </w:p>
  </w:footnote>
  <w:footnote w:id="2">
    <w:p w14:paraId="0BC993DA" w14:textId="77777777" w:rsidR="009454D5" w:rsidRDefault="009454D5" w:rsidP="009454D5">
      <w:pPr>
        <w:pStyle w:val="FootnoteText"/>
      </w:pPr>
      <w:r>
        <w:rPr>
          <w:rStyle w:val="FootnoteReference"/>
        </w:rPr>
        <w:footnoteRef/>
      </w:r>
      <w:r>
        <w:t xml:space="preserve"> Commerce Commission, </w:t>
      </w:r>
      <w:r w:rsidRPr="000E0686">
        <w:rPr>
          <w:i/>
          <w:iCs/>
        </w:rPr>
        <w:t>Market study into the retail grocery sector: Final report</w:t>
      </w:r>
      <w:r>
        <w:t xml:space="preserve">, 8 March 2022 (the </w:t>
      </w:r>
      <w:r w:rsidRPr="009F75EE">
        <w:rPr>
          <w:b/>
          <w:bCs/>
        </w:rPr>
        <w:t>Commission’s Final Report</w:t>
      </w:r>
      <w:r>
        <w:t xml:space="preserve">). Accessed at </w:t>
      </w:r>
      <w:hyperlink r:id="rId1" w:anchor="projecttab" w:history="1">
        <w:r w:rsidRPr="004F5616">
          <w:rPr>
            <w:rStyle w:val="Hyperlink"/>
            <w:rFonts w:asciiTheme="minorHAnsi" w:hAnsiTheme="minorHAnsi"/>
            <w:b w:val="0"/>
            <w:bCs/>
            <w:i w:val="0"/>
          </w:rPr>
          <w:t>https://comcom.govt.nz/about-us/our-role/competition-studies/market-study-into-retail-grocery-sector#projecttab</w:t>
        </w:r>
      </w:hyperlink>
      <w:r>
        <w:t>.</w:t>
      </w:r>
    </w:p>
  </w:footnote>
  <w:footnote w:id="3">
    <w:p w14:paraId="7905EE92" w14:textId="3D68A123" w:rsidR="00500164" w:rsidRPr="00192727" w:rsidRDefault="00500164" w:rsidP="00500164">
      <w:pPr>
        <w:pStyle w:val="FootnoteText"/>
        <w:rPr>
          <w:rFonts w:cstheme="minorHAnsi"/>
        </w:rPr>
      </w:pPr>
      <w:r w:rsidRPr="00192727">
        <w:rPr>
          <w:rStyle w:val="FootnoteReference"/>
          <w:rFonts w:cstheme="minorHAnsi"/>
        </w:rPr>
        <w:footnoteRef/>
      </w:r>
      <w:r w:rsidRPr="00192727">
        <w:rPr>
          <w:rFonts w:cstheme="minorHAnsi"/>
        </w:rPr>
        <w:t xml:space="preserve"> Commission</w:t>
      </w:r>
      <w:r>
        <w:rPr>
          <w:rFonts w:cstheme="minorHAnsi"/>
        </w:rPr>
        <w:t>’s</w:t>
      </w:r>
      <w:r w:rsidRPr="00192727">
        <w:rPr>
          <w:rFonts w:cstheme="minorHAnsi"/>
        </w:rPr>
        <w:t xml:space="preserve"> Final </w:t>
      </w:r>
      <w:r>
        <w:rPr>
          <w:rFonts w:cstheme="minorHAnsi"/>
        </w:rPr>
        <w:t>R</w:t>
      </w:r>
      <w:r w:rsidRPr="00192727">
        <w:rPr>
          <w:rFonts w:cstheme="minorHAnsi"/>
        </w:rPr>
        <w:t xml:space="preserve">eport, </w:t>
      </w:r>
      <w:r>
        <w:t>para</w:t>
      </w:r>
      <w:r w:rsidRPr="00192727">
        <w:rPr>
          <w:rFonts w:cstheme="minorHAnsi"/>
        </w:rPr>
        <w:t xml:space="preserve"> 8.50-8.56.</w:t>
      </w:r>
    </w:p>
  </w:footnote>
  <w:footnote w:id="4">
    <w:p w14:paraId="739E4362" w14:textId="6CFB95FA" w:rsidR="00500164" w:rsidRDefault="00500164" w:rsidP="00500164">
      <w:pPr>
        <w:pStyle w:val="FootnoteText"/>
      </w:pPr>
      <w:r>
        <w:rPr>
          <w:rStyle w:val="FootnoteReference"/>
        </w:rPr>
        <w:footnoteRef/>
      </w:r>
      <w:r>
        <w:t xml:space="preserve"> Commission’s Final Report, para 9.148-9.155.</w:t>
      </w:r>
      <w:r w:rsidR="00177FDF">
        <w:t xml:space="preserve"> Other recommendations aimed at improving competition in the retail grocery market may also impact the relative balance of negotiating power between the major grocery retailers and their suppliers. However, it is expected that there will still be a significant imbalance between large retailers and suppliers (on average) even if there was another large scale grocery retailer in the market.</w:t>
      </w:r>
    </w:p>
  </w:footnote>
  <w:footnote w:id="5">
    <w:p w14:paraId="02D4E38B" w14:textId="77777777" w:rsidR="00500164" w:rsidRDefault="00500164" w:rsidP="00500164">
      <w:pPr>
        <w:pStyle w:val="FootnoteText"/>
      </w:pPr>
      <w:r>
        <w:rPr>
          <w:rStyle w:val="FootnoteReference"/>
        </w:rPr>
        <w:footnoteRef/>
      </w:r>
      <w:r>
        <w:t xml:space="preserve"> Most annual estimates of the major grocery retailers’ combined market share range from 80-90%. The lowest combined market share estimates are between 70-80%. See the Commission’s Final Report, para 5.79.</w:t>
      </w:r>
    </w:p>
  </w:footnote>
  <w:footnote w:id="6">
    <w:p w14:paraId="3C29F35C" w14:textId="77777777" w:rsidR="00500164" w:rsidRPr="00192727" w:rsidRDefault="00500164" w:rsidP="00500164">
      <w:pPr>
        <w:pStyle w:val="FootnoteText"/>
        <w:rPr>
          <w:rFonts w:cstheme="minorHAnsi"/>
        </w:rPr>
      </w:pPr>
      <w:r w:rsidRPr="00192727">
        <w:rPr>
          <w:rStyle w:val="FootnoteReference"/>
          <w:rFonts w:cstheme="minorHAnsi"/>
        </w:rPr>
        <w:footnoteRef/>
      </w:r>
      <w:r w:rsidRPr="00192727">
        <w:rPr>
          <w:rFonts w:cstheme="minorHAnsi"/>
        </w:rPr>
        <w:t xml:space="preserve"> </w:t>
      </w:r>
      <w:r w:rsidRPr="00E36E4F">
        <w:rPr>
          <w:rFonts w:cstheme="minorHAnsi"/>
        </w:rPr>
        <w:t>Commission</w:t>
      </w:r>
      <w:r>
        <w:rPr>
          <w:rFonts w:cstheme="minorHAnsi"/>
        </w:rPr>
        <w:t>’s</w:t>
      </w:r>
      <w:r w:rsidRPr="00E36E4F">
        <w:rPr>
          <w:rFonts w:cstheme="minorHAnsi"/>
        </w:rPr>
        <w:t xml:space="preserve"> Final </w:t>
      </w:r>
      <w:r>
        <w:rPr>
          <w:rFonts w:cstheme="minorHAnsi"/>
        </w:rPr>
        <w:t>R</w:t>
      </w:r>
      <w:r w:rsidRPr="00E36E4F">
        <w:rPr>
          <w:rFonts w:cstheme="minorHAnsi"/>
        </w:rPr>
        <w:t xml:space="preserve">eport, </w:t>
      </w:r>
      <w:r>
        <w:rPr>
          <w:rFonts w:cstheme="minorHAnsi"/>
        </w:rPr>
        <w:t>paras</w:t>
      </w:r>
      <w:r w:rsidRPr="00E36E4F">
        <w:rPr>
          <w:rFonts w:cstheme="minorHAnsi"/>
        </w:rPr>
        <w:t xml:space="preserve"> 6.193-6.199 and 8.150.</w:t>
      </w:r>
    </w:p>
  </w:footnote>
  <w:footnote w:id="7">
    <w:p w14:paraId="0949F086" w14:textId="77777777" w:rsidR="00C32E4B" w:rsidRDefault="00C32E4B" w:rsidP="00C32E4B">
      <w:pPr>
        <w:pStyle w:val="FootnoteText"/>
      </w:pPr>
      <w:r>
        <w:rPr>
          <w:rStyle w:val="FootnoteReference"/>
        </w:rPr>
        <w:footnoteRef/>
      </w:r>
      <w:r>
        <w:t xml:space="preserve"> </w:t>
      </w:r>
      <w:r w:rsidRPr="00E36E4F">
        <w:rPr>
          <w:rFonts w:cstheme="minorHAnsi"/>
        </w:rPr>
        <w:t>Commission</w:t>
      </w:r>
      <w:r>
        <w:rPr>
          <w:rFonts w:cstheme="minorHAnsi"/>
        </w:rPr>
        <w:t>’s</w:t>
      </w:r>
      <w:r w:rsidRPr="00E36E4F">
        <w:rPr>
          <w:rFonts w:cstheme="minorHAnsi"/>
        </w:rPr>
        <w:t xml:space="preserve"> Final </w:t>
      </w:r>
      <w:r>
        <w:rPr>
          <w:rFonts w:cstheme="minorHAnsi"/>
        </w:rPr>
        <w:t>R</w:t>
      </w:r>
      <w:r w:rsidRPr="00E36E4F">
        <w:rPr>
          <w:rFonts w:cstheme="minorHAnsi"/>
        </w:rPr>
        <w:t xml:space="preserve">eport, </w:t>
      </w:r>
      <w:r>
        <w:rPr>
          <w:rFonts w:cstheme="minorHAnsi"/>
        </w:rPr>
        <w:t>paras</w:t>
      </w:r>
      <w:r w:rsidRPr="00E36E4F">
        <w:rPr>
          <w:rFonts w:cstheme="minorHAnsi"/>
        </w:rPr>
        <w:t xml:space="preserve"> </w:t>
      </w:r>
      <w:r>
        <w:rPr>
          <w:rFonts w:cstheme="minorHAnsi"/>
        </w:rPr>
        <w:t>9.178.</w:t>
      </w:r>
    </w:p>
  </w:footnote>
  <w:footnote w:id="8">
    <w:p w14:paraId="1E9F334C" w14:textId="61BF17AD" w:rsidR="000D2E8D" w:rsidRDefault="000D2E8D">
      <w:pPr>
        <w:pStyle w:val="FootnoteText"/>
      </w:pPr>
      <w:r>
        <w:rPr>
          <w:rStyle w:val="FootnoteReference"/>
        </w:rPr>
        <w:footnoteRef/>
      </w:r>
      <w:r>
        <w:t xml:space="preserve"> These are provided as an illustration. No decisions have been made on the options presented in this paper.</w:t>
      </w:r>
    </w:p>
  </w:footnote>
  <w:footnote w:id="9">
    <w:p w14:paraId="0B5771EB" w14:textId="4EF0A498" w:rsidR="00684DE3" w:rsidRDefault="00684DE3" w:rsidP="00684DE3">
      <w:pPr>
        <w:pStyle w:val="FootnoteText"/>
      </w:pPr>
      <w:r>
        <w:rPr>
          <w:rStyle w:val="FootnoteReference"/>
        </w:rPr>
        <w:footnoteRef/>
      </w:r>
      <w:r>
        <w:t xml:space="preserve"> </w:t>
      </w:r>
      <w:r w:rsidRPr="00E36E4F">
        <w:rPr>
          <w:rFonts w:cstheme="minorHAnsi"/>
        </w:rPr>
        <w:t xml:space="preserve">Commission, Final report, at </w:t>
      </w:r>
      <w:r>
        <w:t>9.175-9.179.</w:t>
      </w:r>
    </w:p>
  </w:footnote>
  <w:footnote w:id="10">
    <w:p w14:paraId="0C47A3CF" w14:textId="3C085318" w:rsidR="00662A80" w:rsidRDefault="00662A80">
      <w:pPr>
        <w:pStyle w:val="FootnoteText"/>
      </w:pPr>
      <w:r>
        <w:rPr>
          <w:rStyle w:val="FootnoteReference"/>
        </w:rPr>
        <w:footnoteRef/>
      </w:r>
      <w:r>
        <w:t xml:space="preserve"> Refer to UK Order, article 4. When the UK Grocery Sector Code of Practice came into force, the designated retailers were Asda, Co-operative Group Limited, Marks &amp; Spencer, Wm Morrison Supermarkets, J Sainsbury, Tesco, Waitrose, Aldi, Icelands, and Lidl. </w:t>
      </w:r>
    </w:p>
  </w:footnote>
  <w:footnote w:id="11">
    <w:p w14:paraId="4123877D" w14:textId="7E6CBBA8" w:rsidR="00662A80" w:rsidRDefault="00662A80" w:rsidP="00662A80">
      <w:pPr>
        <w:pStyle w:val="FootnoteText"/>
      </w:pPr>
      <w:r>
        <w:rPr>
          <w:rStyle w:val="FootnoteReference"/>
        </w:rPr>
        <w:footnoteRef/>
      </w:r>
      <w:r>
        <w:t xml:space="preserve"> Competition and Consumer (industry Codes – Food and Grocery) Regulation 2015, Section 4, accessible here: </w:t>
      </w:r>
      <w:hyperlink r:id="rId2" w:history="1">
        <w:r w:rsidRPr="00141CFF">
          <w:rPr>
            <w:rStyle w:val="Hyperlink"/>
            <w:rFonts w:asciiTheme="minorHAnsi" w:hAnsiTheme="minorHAnsi"/>
          </w:rPr>
          <w:t>https://www.legislation.gov.au/Details/F2021C00201</w:t>
        </w:r>
      </w:hyperlink>
      <w:r w:rsidR="00AF3F4F">
        <w:t>.</w:t>
      </w:r>
      <w:r>
        <w:t xml:space="preserve"> Currently four have signed: Woolworths, Coles, Aldi, and Metcash.</w:t>
      </w:r>
    </w:p>
  </w:footnote>
  <w:footnote w:id="12">
    <w:p w14:paraId="66FEB028" w14:textId="2668A4B9" w:rsidR="00E276CC" w:rsidRDefault="00E276CC">
      <w:pPr>
        <w:pStyle w:val="FootnoteText"/>
      </w:pPr>
      <w:r>
        <w:rPr>
          <w:rStyle w:val="FootnoteReference"/>
        </w:rPr>
        <w:footnoteRef/>
      </w:r>
      <w:r>
        <w:t xml:space="preserve"> On the basis of a retail grocery industry of approximately $22 billion per annum, refer to the Commission’s Final Report, </w:t>
      </w:r>
      <w:r w:rsidR="006C6400">
        <w:t xml:space="preserve">para </w:t>
      </w:r>
      <w:r>
        <w:t>2.4.</w:t>
      </w:r>
    </w:p>
  </w:footnote>
  <w:footnote w:id="13">
    <w:p w14:paraId="4CF22A96" w14:textId="32324E68" w:rsidR="00CA7B48" w:rsidRDefault="00CA7B48">
      <w:pPr>
        <w:pStyle w:val="FootnoteText"/>
      </w:pPr>
      <w:r>
        <w:rPr>
          <w:rStyle w:val="FootnoteReference"/>
        </w:rPr>
        <w:footnoteRef/>
      </w:r>
      <w:r>
        <w:t xml:space="preserve"> The Dairy and Business Owners Group submitted to the Commerce Commission that it considered the relative size of (select) other grocery retailers, in annual turnover, to be: $1.3 billion for petrol convenience stores</w:t>
      </w:r>
      <w:r w:rsidR="00A57228">
        <w:t xml:space="preserve">, $1.2 billion for dairies and convenience stores (with an expected 4,000 dairies, convenience stores, and service stations), and $0.9 billion for banner convenience stores (eg Four Square). Accessed here: </w:t>
      </w:r>
      <w:hyperlink r:id="rId3" w:history="1">
        <w:r w:rsidR="00A57228" w:rsidRPr="006E4ED5">
          <w:rPr>
            <w:rStyle w:val="Hyperlink"/>
            <w:rFonts w:asciiTheme="minorHAnsi" w:hAnsiTheme="minorHAnsi"/>
          </w:rPr>
          <w:t>https://comcom.govt.nz/__data/assets/pdf_file/0032/265766/Dairy-and-Business-Owners-Group-Submission-on-Market-study-into-grocery-sector-draft-report-25-August-2021.pdf</w:t>
        </w:r>
      </w:hyperlink>
      <w:r w:rsidR="00AF3F4F">
        <w:t>.</w:t>
      </w:r>
    </w:p>
  </w:footnote>
  <w:footnote w:id="14">
    <w:p w14:paraId="145DB9D8" w14:textId="5D4E0C83" w:rsidR="00BE6FCD" w:rsidRDefault="00BE6FCD" w:rsidP="00BE6FCD">
      <w:pPr>
        <w:pStyle w:val="FootnoteText"/>
      </w:pPr>
      <w:r>
        <w:rPr>
          <w:rStyle w:val="FootnoteReference"/>
        </w:rPr>
        <w:footnoteRef/>
      </w:r>
      <w:r>
        <w:t xml:space="preserve"> </w:t>
      </w:r>
      <w:r w:rsidR="006C6400">
        <w:t>See section 1A of the Commerce Act. This purpose statement is similar to the ones in the Fuel Industry Act 2020 and Retail Payment System Act 2022</w:t>
      </w:r>
      <w:r>
        <w:t>.</w:t>
      </w:r>
    </w:p>
  </w:footnote>
  <w:footnote w:id="15">
    <w:p w14:paraId="06A55905" w14:textId="5ECF127D" w:rsidR="004F473B" w:rsidRDefault="004F473B">
      <w:pPr>
        <w:pStyle w:val="FootnoteText"/>
      </w:pPr>
      <w:r>
        <w:rPr>
          <w:rStyle w:val="FootnoteReference"/>
        </w:rPr>
        <w:footnoteRef/>
      </w:r>
      <w:r>
        <w:t xml:space="preserve"> </w:t>
      </w:r>
      <w:r w:rsidRPr="00E36E4F">
        <w:rPr>
          <w:rFonts w:cstheme="minorHAnsi"/>
        </w:rPr>
        <w:t xml:space="preserve">Commission, Final report, </w:t>
      </w:r>
      <w:r w:rsidR="005069AD">
        <w:rPr>
          <w:rFonts w:cstheme="minorHAnsi"/>
        </w:rPr>
        <w:t>para</w:t>
      </w:r>
      <w:r w:rsidRPr="00E36E4F">
        <w:rPr>
          <w:rFonts w:cstheme="minorHAnsi"/>
        </w:rPr>
        <w:t xml:space="preserve"> </w:t>
      </w:r>
      <w:r>
        <w:t>9.158 (Recommendation 6A).</w:t>
      </w:r>
    </w:p>
  </w:footnote>
  <w:footnote w:id="16">
    <w:p w14:paraId="5AC9AE65" w14:textId="6CD44D40" w:rsidR="00911D54" w:rsidRDefault="00911D54">
      <w:pPr>
        <w:pStyle w:val="FootnoteText"/>
      </w:pPr>
      <w:r>
        <w:rPr>
          <w:rStyle w:val="FootnoteReference"/>
        </w:rPr>
        <w:footnoteRef/>
      </w:r>
      <w:r>
        <w:t xml:space="preserve"> Refer to </w:t>
      </w:r>
      <w:r w:rsidR="002B4500">
        <w:t>Graeme Samuel, Independent Review of the Food and Grocery Code of Conduct, Final Report, September 2018, p.30. Access</w:t>
      </w:r>
      <w:r w:rsidR="005069AD">
        <w:t>ed</w:t>
      </w:r>
      <w:r w:rsidR="002B4500">
        <w:t xml:space="preserve"> </w:t>
      </w:r>
      <w:hyperlink r:id="rId4" w:history="1">
        <w:r w:rsidR="002B4500" w:rsidRPr="00141CFF">
          <w:rPr>
            <w:rStyle w:val="Hyperlink"/>
            <w:rFonts w:asciiTheme="minorHAnsi" w:hAnsiTheme="minorHAnsi"/>
          </w:rPr>
          <w:t>https://treasury.gov.au/review/food-and-grocery-code-of-conduct-review</w:t>
        </w:r>
      </w:hyperlink>
      <w:r w:rsidR="00AF3F4F">
        <w:t>.</w:t>
      </w:r>
    </w:p>
  </w:footnote>
  <w:footnote w:id="17">
    <w:p w14:paraId="37ADB88F" w14:textId="1B64CB25" w:rsidR="00785587" w:rsidRDefault="00785587">
      <w:pPr>
        <w:pStyle w:val="FootnoteText"/>
      </w:pPr>
      <w:r>
        <w:rPr>
          <w:rStyle w:val="FootnoteReference"/>
        </w:rPr>
        <w:footnoteRef/>
      </w:r>
      <w:r>
        <w:t xml:space="preserve"> Refer to Employment New Zealand guidance: </w:t>
      </w:r>
      <w:hyperlink r:id="rId5" w:anchor=":~:text=It%20is%20more%20than%20just,a%20fair%20and%20timely%20way" w:history="1">
        <w:r w:rsidRPr="00785587">
          <w:rPr>
            <w:rStyle w:val="Hyperlink"/>
            <w:rFonts w:asciiTheme="minorHAnsi" w:hAnsiTheme="minorHAnsi"/>
          </w:rPr>
          <w:t>https://www.employment.govt.nz/resolving-problems/employer-and-employee-must-dos/good-faith/#:~:text=It%20is%20more%20than%20just,a%20fair%20and%20timely%20way</w:t>
        </w:r>
      </w:hyperlink>
      <w:r w:rsidRPr="00785587">
        <w:t>.</w:t>
      </w:r>
      <w:r>
        <w:t xml:space="preserve"> </w:t>
      </w:r>
    </w:p>
  </w:footnote>
  <w:footnote w:id="18">
    <w:p w14:paraId="0C046E21" w14:textId="20E4786B" w:rsidR="005663A0" w:rsidRDefault="00531897" w:rsidP="00531897">
      <w:pPr>
        <w:pStyle w:val="FootnoteText"/>
      </w:pPr>
      <w:r>
        <w:rPr>
          <w:rStyle w:val="FootnoteReference"/>
        </w:rPr>
        <w:footnoteRef/>
      </w:r>
      <w:r>
        <w:t xml:space="preserve"> For the purposes of </w:t>
      </w:r>
      <w:r w:rsidR="00DE4155">
        <w:t>this</w:t>
      </w:r>
      <w:r>
        <w:t xml:space="preserve"> consultation paper, impact analysis has been conducted on a by-chapter basis to manage the level of detail provided. The analysis at the end of </w:t>
      </w:r>
      <w:r w:rsidR="00B838A2">
        <w:t>C</w:t>
      </w:r>
      <w:r>
        <w:t xml:space="preserve">hapter </w:t>
      </w:r>
      <w:r w:rsidR="00B838A2">
        <w:t>4</w:t>
      </w:r>
      <w:r>
        <w:t xml:space="preserve"> is on the sum of options presented in the chapter – as indicated with the table above. </w:t>
      </w:r>
    </w:p>
    <w:p w14:paraId="384784C8" w14:textId="5342F47A" w:rsidR="00531897" w:rsidRDefault="00531897" w:rsidP="00531897">
      <w:pPr>
        <w:pStyle w:val="FootnoteText"/>
      </w:pPr>
      <w:r>
        <w:t xml:space="preserve">In subsequent chapters – particularly </w:t>
      </w:r>
      <w:r w:rsidR="00B838A2">
        <w:t>C</w:t>
      </w:r>
      <w:r>
        <w:t>hapters 6 and 7 – where the options are more detailed, a table showing what each of the three options contain has been included prior to the impact table. This is intended to recap the options that have been discussed before they are analysed. Further analysis of options may be at a more granular level.</w:t>
      </w:r>
    </w:p>
  </w:footnote>
  <w:footnote w:id="19">
    <w:p w14:paraId="64D6812E" w14:textId="5EEA9E3C" w:rsidR="000A55D5" w:rsidRDefault="000A55D5" w:rsidP="000A55D5">
      <w:pPr>
        <w:pStyle w:val="FootnoteText"/>
      </w:pPr>
      <w:r>
        <w:rPr>
          <w:rStyle w:val="FootnoteReference"/>
        </w:rPr>
        <w:footnoteRef/>
      </w:r>
      <w:r>
        <w:t xml:space="preserve"> </w:t>
      </w:r>
      <w:r w:rsidR="002067E4">
        <w:t xml:space="preserve">Grocery supply </w:t>
      </w:r>
      <w:r w:rsidRPr="000A55D5">
        <w:t>agreements may be relatively long-lasting and sometimes complex due to the nature of the supply arrangements and the grocery industry.</w:t>
      </w:r>
    </w:p>
  </w:footnote>
  <w:footnote w:id="20">
    <w:p w14:paraId="4D900953" w14:textId="07B94864" w:rsidR="00D92B14" w:rsidRDefault="00D92B14">
      <w:pPr>
        <w:pStyle w:val="FootnoteText"/>
      </w:pPr>
      <w:r>
        <w:rPr>
          <w:rStyle w:val="FootnoteReference"/>
        </w:rPr>
        <w:footnoteRef/>
      </w:r>
      <w:r>
        <w:t xml:space="preserve"> The Australian Code stipulates that records are to be retained for 6 years, which corresponds with Australian tax requirements.</w:t>
      </w:r>
    </w:p>
  </w:footnote>
  <w:footnote w:id="21">
    <w:p w14:paraId="5BFAEC64" w14:textId="27A477F4" w:rsidR="00C80BE9" w:rsidRDefault="00C80BE9" w:rsidP="00C80BE9">
      <w:pPr>
        <w:pStyle w:val="FootnoteText"/>
      </w:pPr>
      <w:r>
        <w:rPr>
          <w:rStyle w:val="FootnoteReference"/>
        </w:rPr>
        <w:footnoteRef/>
      </w:r>
      <w:r>
        <w:t xml:space="preserve"> Commerce Commission, Final Report at 9.166.1</w:t>
      </w:r>
      <w:r w:rsidR="00AF3F4F">
        <w:t>.</w:t>
      </w:r>
    </w:p>
  </w:footnote>
  <w:footnote w:id="22">
    <w:p w14:paraId="6E2D5700" w14:textId="4915B05E" w:rsidR="00044E26" w:rsidRDefault="00044E26">
      <w:pPr>
        <w:pStyle w:val="FootnoteText"/>
      </w:pPr>
      <w:r>
        <w:rPr>
          <w:rStyle w:val="FootnoteReference"/>
        </w:rPr>
        <w:footnoteRef/>
      </w:r>
      <w:r>
        <w:t xml:space="preserve"> Reasonable in the circumstances includes consideration of the benefits, costs, and risks to the supplier, as well as the characteristics of the supplier including their business size and the type of produce they supply.</w:t>
      </w:r>
    </w:p>
  </w:footnote>
  <w:footnote w:id="23">
    <w:p w14:paraId="15B992E2" w14:textId="40DED502" w:rsidR="00D13C6E" w:rsidRDefault="00D13C6E">
      <w:pPr>
        <w:pStyle w:val="FootnoteText"/>
      </w:pPr>
      <w:r>
        <w:rPr>
          <w:rStyle w:val="FootnoteReference"/>
        </w:rPr>
        <w:footnoteRef/>
      </w:r>
      <w:r>
        <w:t xml:space="preserve"> Australia </w:t>
      </w:r>
      <w:r w:rsidR="009B3938">
        <w:t xml:space="preserve">also </w:t>
      </w:r>
      <w:r>
        <w:t xml:space="preserve">has a Horticulture Code of Conduct, </w:t>
      </w:r>
      <w:r w:rsidR="009B3938">
        <w:t xml:space="preserve">which </w:t>
      </w:r>
      <w:r>
        <w:t>regulates conduct in transactions between growers and wholesale ‘traders’, agents, or merchants.</w:t>
      </w:r>
      <w:r w:rsidR="00602C65">
        <w:t xml:space="preserve"> </w:t>
      </w:r>
    </w:p>
  </w:footnote>
  <w:footnote w:id="24">
    <w:p w14:paraId="7C0922BF" w14:textId="77777777" w:rsidR="009B1E27" w:rsidRDefault="009B1E27" w:rsidP="009B1E27">
      <w:pPr>
        <w:pStyle w:val="FootnoteText"/>
      </w:pPr>
      <w:r>
        <w:rPr>
          <w:rStyle w:val="FootnoteReference"/>
        </w:rPr>
        <w:footnoteRef/>
      </w:r>
      <w:r>
        <w:t xml:space="preserve"> We do not understand these to be a regulatory ‘standard’ or an another formal ‘standard’ (such as an ASNZS or ISO standard). </w:t>
      </w:r>
    </w:p>
  </w:footnote>
  <w:footnote w:id="25">
    <w:p w14:paraId="7B6126C8" w14:textId="0297F135" w:rsidR="009B1E27" w:rsidRDefault="009B1E27">
      <w:pPr>
        <w:pStyle w:val="FootnoteText"/>
      </w:pPr>
      <w:r>
        <w:rPr>
          <w:rStyle w:val="FootnoteReference"/>
        </w:rPr>
        <w:footnoteRef/>
      </w:r>
      <w:r>
        <w:t xml:space="preserve"> </w:t>
      </w:r>
      <w:r w:rsidRPr="009B1E27">
        <w:t>This is different from payments for shrinkage or wastage (refer to Chapter 7).</w:t>
      </w:r>
    </w:p>
  </w:footnote>
  <w:footnote w:id="26">
    <w:p w14:paraId="0973CDB3" w14:textId="2EDBBF34" w:rsidR="005D6EA0" w:rsidRDefault="005D6EA0">
      <w:pPr>
        <w:pStyle w:val="FootnoteText"/>
      </w:pPr>
      <w:r>
        <w:rPr>
          <w:rStyle w:val="FootnoteReference"/>
        </w:rPr>
        <w:footnoteRef/>
      </w:r>
      <w:r>
        <w:t xml:space="preserve"> This is a version of non-discrimination, similar to part of the fair dealing obligation discussed at paragraph </w:t>
      </w:r>
      <w:r>
        <w:fldChar w:fldCharType="begin"/>
      </w:r>
      <w:r>
        <w:instrText xml:space="preserve"> REF _Ref107254045 \r \h </w:instrText>
      </w:r>
      <w:r>
        <w:fldChar w:fldCharType="separate"/>
      </w:r>
      <w:r w:rsidR="008D0C1F">
        <w:t>69.b</w:t>
      </w:r>
      <w:r>
        <w:fldChar w:fldCharType="end"/>
      </w:r>
      <w:r>
        <w:t>.</w:t>
      </w:r>
    </w:p>
  </w:footnote>
  <w:footnote w:id="27">
    <w:p w14:paraId="3D152B0C" w14:textId="0553933C" w:rsidR="00844C12" w:rsidRPr="00844C12" w:rsidRDefault="00844C12">
      <w:pPr>
        <w:pStyle w:val="FootnoteText"/>
      </w:pPr>
      <w:r>
        <w:rPr>
          <w:rStyle w:val="FootnoteReference"/>
        </w:rPr>
        <w:footnoteRef/>
      </w:r>
      <w:r>
        <w:t xml:space="preserve"> This is an instance where the narrower purpose of </w:t>
      </w:r>
      <w:r>
        <w:rPr>
          <w:b/>
          <w:bCs/>
        </w:rPr>
        <w:t xml:space="preserve">option 1 </w:t>
      </w:r>
      <w:r>
        <w:t xml:space="preserve">(refer to paragraph </w:t>
      </w:r>
      <w:r>
        <w:fldChar w:fldCharType="begin"/>
      </w:r>
      <w:r>
        <w:instrText xml:space="preserve"> REF _Ref105168302 \r \h </w:instrText>
      </w:r>
      <w:r>
        <w:fldChar w:fldCharType="separate"/>
      </w:r>
      <w:r w:rsidR="008D0C1F">
        <w:t>60</w:t>
      </w:r>
      <w:r>
        <w:fldChar w:fldCharType="end"/>
      </w:r>
      <w:r>
        <w:t>), which is focused on the balance of negotiating power between retailers and suppliers, may be mutually exclusive with a broader provision to improve competition in the retail grocery market.</w:t>
      </w:r>
    </w:p>
  </w:footnote>
  <w:footnote w:id="28">
    <w:p w14:paraId="3524C384" w14:textId="1F34DDF1" w:rsidR="007C7830" w:rsidRDefault="007C7830" w:rsidP="007C7830">
      <w:pPr>
        <w:pStyle w:val="FootnoteText"/>
      </w:pPr>
      <w:r>
        <w:rPr>
          <w:rStyle w:val="FootnoteReference"/>
        </w:rPr>
        <w:footnoteRef/>
      </w:r>
      <w:r>
        <w:t xml:space="preserve"> Refer to the announcement by the Ministers of Finance, Small Business, Commerce and Consumer Affairs, here: </w:t>
      </w:r>
      <w:hyperlink r:id="rId6" w:history="1">
        <w:r w:rsidRPr="00EF1170">
          <w:rPr>
            <w:rStyle w:val="Hyperlink"/>
            <w:rFonts w:asciiTheme="minorHAnsi" w:hAnsiTheme="minorHAnsi"/>
          </w:rPr>
          <w:t>https://www.beehive.govt.nz/release/driving-prompt-payments-small-businesses</w:t>
        </w:r>
      </w:hyperlink>
      <w:r>
        <w:t xml:space="preserve">. </w:t>
      </w:r>
    </w:p>
  </w:footnote>
  <w:footnote w:id="29">
    <w:p w14:paraId="5EF87AF4" w14:textId="6CEBEC58" w:rsidR="001D27EF" w:rsidRDefault="001D27EF" w:rsidP="001D27EF">
      <w:pPr>
        <w:pStyle w:val="FootnoteText"/>
      </w:pPr>
      <w:r>
        <w:rPr>
          <w:rStyle w:val="FootnoteReference"/>
        </w:rPr>
        <w:footnoteRef/>
      </w:r>
      <w:r>
        <w:t xml:space="preserve"> Commission’s Final Report at 8.128 – 8.129.</w:t>
      </w:r>
    </w:p>
  </w:footnote>
  <w:footnote w:id="30">
    <w:p w14:paraId="28277C46" w14:textId="6B9A8E1A" w:rsidR="007C7830" w:rsidRDefault="007C7830" w:rsidP="007C7830">
      <w:pPr>
        <w:pStyle w:val="FootnoteText"/>
      </w:pPr>
      <w:r>
        <w:rPr>
          <w:rStyle w:val="FootnoteReference"/>
        </w:rPr>
        <w:footnoteRef/>
      </w:r>
      <w:r>
        <w:t xml:space="preserve"> Refer to the Commission’s Final Report at 8.144</w:t>
      </w:r>
      <w:r w:rsidR="00AF3F4F">
        <w:t>.</w:t>
      </w:r>
    </w:p>
  </w:footnote>
  <w:footnote w:id="31">
    <w:p w14:paraId="64F68EB2" w14:textId="1784215B" w:rsidR="00011DBC" w:rsidRDefault="00011DBC">
      <w:pPr>
        <w:pStyle w:val="FootnoteText"/>
      </w:pPr>
      <w:r>
        <w:rPr>
          <w:rStyle w:val="FootnoteReference"/>
        </w:rPr>
        <w:footnoteRef/>
      </w:r>
      <w:r>
        <w:t xml:space="preserve"> </w:t>
      </w:r>
      <w:r w:rsidRPr="00011DBC">
        <w:t>To be clear, in relation to fresh produce, shrinkage and wastage can only occur after a retailer has accepted goods (under the fresh produce provisions in Chapter 6.3).</w:t>
      </w:r>
    </w:p>
  </w:footnote>
  <w:footnote w:id="32">
    <w:p w14:paraId="0F77CA1B" w14:textId="430052DC" w:rsidR="00D67A02" w:rsidRDefault="00D67A02">
      <w:pPr>
        <w:pStyle w:val="FootnoteText"/>
      </w:pPr>
      <w:r>
        <w:rPr>
          <w:rStyle w:val="FootnoteReference"/>
        </w:rPr>
        <w:footnoteRef/>
      </w:r>
      <w:r>
        <w:t xml:space="preserve"> For example when it is known, based on historic</w:t>
      </w:r>
      <w:r w:rsidR="007258B8">
        <w:t>al</w:t>
      </w:r>
      <w:r>
        <w:t xml:space="preserve"> data, that a manufactured good has a packaging error 0.5% of the time (not due to the fault of the retailer), and this agreed between both parties, then incorporated into the supply agreement as a standard damage allowance.</w:t>
      </w:r>
    </w:p>
  </w:footnote>
  <w:footnote w:id="33">
    <w:p w14:paraId="11445B12" w14:textId="77777777" w:rsidR="00E67378" w:rsidRDefault="00E67378" w:rsidP="00E67378">
      <w:pPr>
        <w:pStyle w:val="FootnoteText"/>
      </w:pPr>
      <w:r>
        <w:rPr>
          <w:rStyle w:val="FootnoteReference"/>
        </w:rPr>
        <w:footnoteRef/>
      </w:r>
      <w:r>
        <w:t xml:space="preserve"> Commerce Commission, Final report, at 9.166.4.</w:t>
      </w:r>
    </w:p>
  </w:footnote>
  <w:footnote w:id="34">
    <w:p w14:paraId="0A6631B0" w14:textId="7E77A19A" w:rsidR="00E641AE" w:rsidRDefault="00E641AE" w:rsidP="00E641AE">
      <w:pPr>
        <w:pStyle w:val="FootnoteText"/>
      </w:pPr>
      <w:r>
        <w:rPr>
          <w:rStyle w:val="FootnoteReference"/>
        </w:rPr>
        <w:footnoteRef/>
      </w:r>
      <w:r>
        <w:t xml:space="preserve"> These generally include a buyer’s visit to the supplier, artwork or packaging design, consumer or market research, the opening or refurbishing of a store, hospitality for the retailer’s staff.</w:t>
      </w:r>
    </w:p>
  </w:footnote>
  <w:footnote w:id="35">
    <w:p w14:paraId="12D00E3F" w14:textId="540E18AB" w:rsidR="004D0244" w:rsidRDefault="004D0244">
      <w:pPr>
        <w:pStyle w:val="FootnoteText"/>
      </w:pPr>
      <w:r>
        <w:rPr>
          <w:rStyle w:val="FootnoteReference"/>
        </w:rPr>
        <w:footnoteRef/>
      </w:r>
      <w:r>
        <w:t xml:space="preserve"> New products could be ones that are not stocked by the retailer in the prior year in more than 25% of its retail stores. </w:t>
      </w:r>
    </w:p>
  </w:footnote>
  <w:footnote w:id="36">
    <w:p w14:paraId="6360149A" w14:textId="77777777" w:rsidR="007050AD" w:rsidRDefault="007050AD" w:rsidP="007050AD">
      <w:pPr>
        <w:pStyle w:val="FootnoteText"/>
      </w:pPr>
      <w:r>
        <w:rPr>
          <w:rStyle w:val="FootnoteReference"/>
        </w:rPr>
        <w:footnoteRef/>
      </w:r>
      <w:r>
        <w:t xml:space="preserve"> Commission, Final Report, paragraphs 2.43-2.45 and Figure 2.5, and paragraphs 8.105-8.112.</w:t>
      </w:r>
    </w:p>
  </w:footnote>
  <w:footnote w:id="37">
    <w:p w14:paraId="3224344B" w14:textId="77777777" w:rsidR="003A32F8" w:rsidRDefault="003A32F8" w:rsidP="003A32F8">
      <w:pPr>
        <w:pStyle w:val="FootnoteText"/>
      </w:pPr>
      <w:r>
        <w:rPr>
          <w:rStyle w:val="FootnoteReference"/>
        </w:rPr>
        <w:footnoteRef/>
      </w:r>
      <w:r>
        <w:t xml:space="preserve"> Commission, Final Report, 9.182.</w:t>
      </w:r>
    </w:p>
  </w:footnote>
  <w:footnote w:id="38">
    <w:p w14:paraId="70F03876" w14:textId="64DF8F7B" w:rsidR="007C6CF6" w:rsidRDefault="007C6CF6">
      <w:pPr>
        <w:pStyle w:val="FootnoteText"/>
      </w:pPr>
      <w:r>
        <w:rPr>
          <w:rStyle w:val="FootnoteReference"/>
        </w:rPr>
        <w:footnoteRef/>
      </w:r>
      <w:r>
        <w:t xml:space="preserve"> Foodstuffs supplier charter is accessible here: </w:t>
      </w:r>
      <w:hyperlink r:id="rId7" w:history="1">
        <w:r w:rsidRPr="00EF1170">
          <w:rPr>
            <w:rStyle w:val="Hyperlink"/>
            <w:rFonts w:asciiTheme="minorHAnsi" w:hAnsiTheme="minorHAnsi"/>
          </w:rPr>
          <w:t>https://www.foodstuffs-exchange.co.nz/assets/documents/Supplier_relationship_charter.pdf</w:t>
        </w:r>
      </w:hyperlink>
      <w:r>
        <w:t xml:space="preserve">. The Woolworths supplier charter is accessible here: </w:t>
      </w:r>
      <w:hyperlink r:id="rId8" w:history="1">
        <w:r w:rsidRPr="00EF1170">
          <w:rPr>
            <w:rStyle w:val="Hyperlink"/>
            <w:rFonts w:asciiTheme="minorHAnsi" w:hAnsiTheme="minorHAnsi"/>
          </w:rPr>
          <w:t>https://www.countdown.co.nz/media/9959/wwnz-supplier-charter-180618.pdf</w:t>
        </w:r>
      </w:hyperlink>
      <w:r w:rsidR="00AF3F4F">
        <w:t>.</w:t>
      </w:r>
    </w:p>
  </w:footnote>
  <w:footnote w:id="39">
    <w:p w14:paraId="552A8D94" w14:textId="7BD2685C" w:rsidR="00EE2FAB" w:rsidRDefault="00EE2FAB" w:rsidP="00EE2FAB">
      <w:pPr>
        <w:pStyle w:val="FootnoteText"/>
      </w:pPr>
      <w:r>
        <w:rPr>
          <w:rStyle w:val="FootnoteReference"/>
        </w:rPr>
        <w:footnoteRef/>
      </w:r>
      <w:r>
        <w:t xml:space="preserve"> Evidence presented to the Commerce Commission by former UK Groceries Code Adjudicator Christine Tacon, slides 6 and 8. Accessible here: </w:t>
      </w:r>
      <w:hyperlink r:id="rId9" w:history="1">
        <w:r w:rsidRPr="007F05FB">
          <w:rPr>
            <w:rStyle w:val="Hyperlink"/>
            <w:rFonts w:asciiTheme="minorHAnsi" w:hAnsiTheme="minorHAnsi"/>
          </w:rPr>
          <w:t>https://comcom.govt.nz/__data/assets/pdf_file/0036/269847/Christine-Tacon-The-Impact-of-Groceries-Regulation-in-the-UK-New-Zealand-Briefing-GCA-2013-October-2020.pdf</w:t>
        </w:r>
      </w:hyperlink>
      <w:r w:rsidR="008104F7">
        <w:t>.</w:t>
      </w:r>
    </w:p>
  </w:footnote>
  <w:footnote w:id="40">
    <w:p w14:paraId="07F17D85" w14:textId="0C4BDB59" w:rsidR="003C067D" w:rsidRDefault="003C067D">
      <w:pPr>
        <w:pStyle w:val="FootnoteText"/>
      </w:pPr>
      <w:r>
        <w:rPr>
          <w:rStyle w:val="FootnoteReference"/>
        </w:rPr>
        <w:footnoteRef/>
      </w:r>
      <w:r>
        <w:t xml:space="preserve"> Woolworths’ Code Arbiter reported one complaint by a supplier, and Coles’ Code Arbiter reported three complaints. </w:t>
      </w:r>
      <w:r w:rsidR="008104F7">
        <w:t>T</w:t>
      </w:r>
      <w:r w:rsidR="008104F7" w:rsidRPr="005E3CE8">
        <w:t xml:space="preserve">he Independent Reviewer </w:t>
      </w:r>
      <w:r w:rsidR="008104F7">
        <w:t>commented on the fact that there were only four complaints, suggesting it may be</w:t>
      </w:r>
      <w:r w:rsidR="008104F7" w:rsidRPr="005E3CE8">
        <w:t xml:space="preserve"> due to effective systems to resolve issues before they become complaints, suppliers </w:t>
      </w:r>
      <w:r w:rsidR="008104F7">
        <w:t xml:space="preserve">being </w:t>
      </w:r>
      <w:r w:rsidR="008104F7" w:rsidRPr="005E3CE8">
        <w:t>unaware of the Code Arbiter complaint process</w:t>
      </w:r>
      <w:r w:rsidR="008104F7">
        <w:t>,</w:t>
      </w:r>
      <w:r w:rsidR="008104F7" w:rsidRPr="005E3CE8">
        <w:t xml:space="preserve"> suppliers not complaining for fear of repercussions or that the Code Arbiter will not be impartial</w:t>
      </w:r>
      <w:r w:rsidR="008104F7">
        <w:t xml:space="preserve">, or that there are </w:t>
      </w:r>
      <w:r w:rsidR="008104F7" w:rsidRPr="005E3CE8">
        <w:t xml:space="preserve">few </w:t>
      </w:r>
      <w:r w:rsidR="008104F7">
        <w:t>issues</w:t>
      </w:r>
      <w:r w:rsidR="008104F7" w:rsidRPr="005E3CE8">
        <w:t>.</w:t>
      </w:r>
      <w:r w:rsidR="008104F7">
        <w:t xml:space="preserve"> </w:t>
      </w:r>
      <w:r>
        <w:t xml:space="preserve">Refer to the Food and Grocery Code Independent Reviewer Annual Report 2020-21, p. 10, accessible here: </w:t>
      </w:r>
      <w:hyperlink r:id="rId10" w:history="1">
        <w:r w:rsidRPr="007F05FB">
          <w:rPr>
            <w:rStyle w:val="Hyperlink"/>
            <w:rFonts w:asciiTheme="minorHAnsi" w:hAnsiTheme="minorHAnsi"/>
          </w:rPr>
          <w:t>https://treasury.gov.au/sites/default/files/2021-11/p2021-229034_0.pdf</w:t>
        </w:r>
      </w:hyperlink>
      <w:r w:rsidR="008104F7">
        <w:t>.</w:t>
      </w:r>
    </w:p>
  </w:footnote>
  <w:footnote w:id="41">
    <w:p w14:paraId="156808A8" w14:textId="5EB0A94F" w:rsidR="00197F36" w:rsidRDefault="00197F36" w:rsidP="00197F36">
      <w:pPr>
        <w:pStyle w:val="FootnoteText"/>
      </w:pPr>
      <w:r>
        <w:rPr>
          <w:rStyle w:val="FootnoteReference"/>
        </w:rPr>
        <w:footnoteRef/>
      </w:r>
      <w:r>
        <w:t xml:space="preserve"> Refer to guidance here on the different types of dispute resolution processes: </w:t>
      </w:r>
      <w:hyperlink r:id="rId11" w:history="1">
        <w:r w:rsidRPr="00682EA8">
          <w:rPr>
            <w:rStyle w:val="Hyperlink"/>
            <w:rFonts w:asciiTheme="minorHAnsi" w:hAnsiTheme="minorHAnsi"/>
          </w:rPr>
          <w:t>https://www.mbie.govt.nz/cross-government-functions/government-centre-for-dispute-resolution/why-dispute-resolution-is-important/</w:t>
        </w:r>
      </w:hyperlink>
      <w:r w:rsidR="008104F7">
        <w:t>.</w:t>
      </w:r>
    </w:p>
  </w:footnote>
  <w:footnote w:id="42">
    <w:p w14:paraId="0730C7AF" w14:textId="0BA45137" w:rsidR="007776B7" w:rsidRDefault="007776B7">
      <w:pPr>
        <w:pStyle w:val="FootnoteText"/>
      </w:pPr>
      <w:r>
        <w:rPr>
          <w:rStyle w:val="FootnoteReference"/>
        </w:rPr>
        <w:footnoteRef/>
      </w:r>
      <w:r>
        <w:t xml:space="preserve"> Refer to section 46 of the Fuel Industry Act 2020, here: </w:t>
      </w:r>
      <w:hyperlink r:id="rId12" w:anchor="LMS321426" w:history="1">
        <w:r w:rsidRPr="007F05FB">
          <w:rPr>
            <w:rStyle w:val="Hyperlink"/>
            <w:rFonts w:asciiTheme="minorHAnsi" w:hAnsiTheme="minorHAnsi"/>
          </w:rPr>
          <w:t>https://www.legislation.govt.nz/act/public/2020/0060/latest/whole.html#LMS321426</w:t>
        </w:r>
      </w:hyperlink>
      <w:r w:rsidR="00AF3F4F">
        <w:t>.</w:t>
      </w:r>
    </w:p>
  </w:footnote>
  <w:footnote w:id="43">
    <w:p w14:paraId="0A7E90DA" w14:textId="4F8CF5A1" w:rsidR="002D553D" w:rsidRDefault="002D553D">
      <w:pPr>
        <w:pStyle w:val="FootnoteText"/>
      </w:pPr>
      <w:r>
        <w:rPr>
          <w:rStyle w:val="FootnoteReference"/>
        </w:rPr>
        <w:footnoteRef/>
      </w:r>
      <w:r>
        <w:t xml:space="preserve"> Refer to the Tertiary Education Dispute Resolution website for more information: </w:t>
      </w:r>
      <w:hyperlink r:id="rId13" w:history="1">
        <w:r w:rsidRPr="007F05FB">
          <w:rPr>
            <w:rStyle w:val="Hyperlink"/>
            <w:rFonts w:asciiTheme="minorHAnsi" w:hAnsiTheme="minorHAnsi"/>
          </w:rPr>
          <w:t>https://tedr.org.nz/</w:t>
        </w:r>
      </w:hyperlink>
      <w:r>
        <w:t xml:space="preserve"> This dispute resolution process is set out in primary legislation (</w:t>
      </w:r>
      <w:r w:rsidRPr="002D553D">
        <w:t>Education and Training Act 2020</w:t>
      </w:r>
      <w:r>
        <w:t>) and regulations (</w:t>
      </w:r>
      <w:r w:rsidRPr="002D553D">
        <w:t>Education (Domestic Tertiary Student Contract Dispute Resolution Scheme) Rules 2021</w:t>
      </w:r>
      <w:r>
        <w:t xml:space="preserve">). </w:t>
      </w:r>
    </w:p>
  </w:footnote>
  <w:footnote w:id="44">
    <w:p w14:paraId="3200750F" w14:textId="39CC73BD" w:rsidR="00880459" w:rsidRDefault="00880459">
      <w:pPr>
        <w:pStyle w:val="FootnoteText"/>
      </w:pPr>
      <w:r>
        <w:rPr>
          <w:rStyle w:val="FootnoteReference"/>
        </w:rPr>
        <w:footnoteRef/>
      </w:r>
      <w:r>
        <w:t xml:space="preserve"> Refer to Part 5, division 1 &amp; division 2 of the Australian Code. </w:t>
      </w:r>
      <w:r w:rsidR="005E3CE8">
        <w:t xml:space="preserve">See also: </w:t>
      </w:r>
      <w:hyperlink r:id="rId14" w:history="1">
        <w:r w:rsidR="005E3CE8" w:rsidRPr="00B43821">
          <w:rPr>
            <w:rStyle w:val="Hyperlink"/>
          </w:rPr>
          <w:t>https://www.accc.gov.au/business/</w:t>
        </w:r>
        <w:r w:rsidR="005E3CE8" w:rsidRPr="00B43821">
          <w:rPr>
            <w:rStyle w:val="Hyperlink"/>
          </w:rPr>
          <w:br/>
          <w:t>industry-codes/food-and-grocery-code-of-conduct/changes-to-the-food-and-grocery-code</w:t>
        </w:r>
      </w:hyperlink>
      <w:r w:rsidR="00AF3F4F">
        <w:rPr>
          <w:rFonts w:ascii="Calibri" w:hAnsi="Calibri"/>
          <w:b/>
          <w:i/>
        </w:rPr>
        <w:t>.</w:t>
      </w:r>
    </w:p>
  </w:footnote>
  <w:footnote w:id="45">
    <w:p w14:paraId="02BF8447" w14:textId="11A297CE" w:rsidR="00D00337" w:rsidRDefault="00D00337" w:rsidP="002230C5">
      <w:pPr>
        <w:pStyle w:val="FootnoteText"/>
      </w:pPr>
      <w:r>
        <w:rPr>
          <w:rStyle w:val="FootnoteReference"/>
        </w:rPr>
        <w:footnoteRef/>
      </w:r>
      <w:r>
        <w:t xml:space="preserve"> In addition to the dispute resolution process, the UK GCA has separate investigation powers, which have been used twice over the seven years of the GCA (until mid-2021). </w:t>
      </w:r>
      <w:bookmarkStart w:id="217" w:name="_Hlk101349677"/>
      <w:r>
        <w:t xml:space="preserve">Refer to Groceries Code Adjudicator Annual Reports and Accounts 2020-2021, at p.20. Accessed here: </w:t>
      </w:r>
      <w:hyperlink r:id="rId15" w:history="1">
        <w:r w:rsidRPr="001506FF">
          <w:rPr>
            <w:rStyle w:val="Hyperlink"/>
            <w:rFonts w:asciiTheme="minorHAnsi" w:hAnsiTheme="minorHAnsi"/>
          </w:rPr>
          <w:t>https://assets.publishing.service.gov.uk/government/uploads/system/uploads/attachment_data/file/995915/Groceries_Code_Adjudicator_Annual_Report_and_Accounts_2020-2021.pdf</w:t>
        </w:r>
      </w:hyperlink>
      <w:bookmarkEnd w:id="217"/>
      <w:r w:rsidR="00AF3F4F">
        <w:t>.</w:t>
      </w:r>
    </w:p>
  </w:footnote>
  <w:footnote w:id="46">
    <w:p w14:paraId="50F499A0" w14:textId="77777777" w:rsidR="005E3CE8" w:rsidRDefault="005E3CE8" w:rsidP="005E3CE8">
      <w:pPr>
        <w:pStyle w:val="FootnoteText"/>
      </w:pPr>
      <w:r>
        <w:rPr>
          <w:rStyle w:val="FootnoteReference"/>
        </w:rPr>
        <w:footnoteRef/>
      </w:r>
      <w:r>
        <w:t xml:space="preserve"> Despite this, in a GCA survey of suppliers, the major reason why UK suppliers said that they may not raise an issue with the GCA was because of a fear of consequences if the retailer found out. Refer to Groceries Code Adjudicator Annual Reports and Accounts 2020-2021, at p.11.</w:t>
      </w:r>
    </w:p>
  </w:footnote>
  <w:footnote w:id="47">
    <w:p w14:paraId="258AB826" w14:textId="200E4CBE" w:rsidR="00244309" w:rsidRDefault="00244309" w:rsidP="00244309">
      <w:pPr>
        <w:pStyle w:val="FootnoteText"/>
      </w:pPr>
      <w:r>
        <w:rPr>
          <w:rStyle w:val="FootnoteReference"/>
        </w:rPr>
        <w:footnoteRef/>
      </w:r>
      <w:r>
        <w:t xml:space="preserve"> Refer to the Government Centre for Dispute Resolution Principles. Accessed here: </w:t>
      </w:r>
      <w:hyperlink r:id="rId16" w:history="1">
        <w:r w:rsidRPr="00A334F9">
          <w:rPr>
            <w:rStyle w:val="Hyperlink"/>
            <w:rFonts w:asciiTheme="minorHAnsi" w:hAnsiTheme="minorHAnsi"/>
          </w:rPr>
          <w:t>https://www.mbie.govt.nz/cross-government-functions/government-centre-for-dispute-resolution/dispute-resolution-tools-and-resources/dispute-resolution-best-practice-principles/</w:t>
        </w:r>
      </w:hyperlink>
      <w:r>
        <w:t xml:space="preserve">. These principles will ensure that any dispute resolution process is independent, accessible and affordable, timely, informed by specialist advice, and confidential, as the Commission recommended (refer to Final Report, paragraph 9.183). </w:t>
      </w:r>
      <w:r w:rsidR="00716115" w:rsidRPr="00716115">
        <w:t>Accountab</w:t>
      </w:r>
      <w:r w:rsidR="0046321E">
        <w:t>i</w:t>
      </w:r>
      <w:r w:rsidR="00716115" w:rsidRPr="00716115">
        <w:t>l</w:t>
      </w:r>
      <w:r w:rsidR="00716115">
        <w:t xml:space="preserve">ity is </w:t>
      </w:r>
      <w:r w:rsidR="0046321E">
        <w:t xml:space="preserve">considered separately in Chapter 9. </w:t>
      </w:r>
    </w:p>
  </w:footnote>
  <w:footnote w:id="48">
    <w:p w14:paraId="63882412" w14:textId="7DB67C7B" w:rsidR="0028454A" w:rsidRDefault="0028454A">
      <w:pPr>
        <w:pStyle w:val="FootnoteText"/>
      </w:pPr>
      <w:r>
        <w:rPr>
          <w:rStyle w:val="FootnoteReference"/>
        </w:rPr>
        <w:footnoteRef/>
      </w:r>
      <w:r>
        <w:t xml:space="preserve"> Adjudication can be tailored more than arbitration which is governed by the Arbitration Act 1996. The Australian Code Arbiter makes decisions within 20 working days, and appeals are limited to procedural matters. The New Zealand Construction Contracts Adjudication scheme</w:t>
      </w:r>
      <w:r w:rsidR="00955F24">
        <w:t xml:space="preserve">, which makes use of the Building Disputes Tribunal </w:t>
      </w:r>
      <w:r w:rsidR="003F5340">
        <w:t xml:space="preserve">to administer adjudication services. For more information see: </w:t>
      </w:r>
      <w:hyperlink r:id="rId17" w:history="1">
        <w:r w:rsidR="003F5340" w:rsidRPr="00677DB0">
          <w:rPr>
            <w:rStyle w:val="Hyperlink"/>
            <w:rFonts w:asciiTheme="minorHAnsi" w:hAnsiTheme="minorHAnsi"/>
          </w:rPr>
          <w:t>https://www.buildingdisputestribunal.co.nz/adjudication/</w:t>
        </w:r>
      </w:hyperlink>
      <w:r w:rsidR="00AF3F4F">
        <w:t>.</w:t>
      </w:r>
    </w:p>
  </w:footnote>
  <w:footnote w:id="49">
    <w:p w14:paraId="7CC70A06" w14:textId="0FB31FCE" w:rsidR="000C40CB" w:rsidRDefault="000C40CB" w:rsidP="000C40CB">
      <w:pPr>
        <w:pStyle w:val="FootnoteText"/>
      </w:pPr>
      <w:r>
        <w:rPr>
          <w:rStyle w:val="FootnoteReference"/>
        </w:rPr>
        <w:footnoteRef/>
      </w:r>
      <w:r>
        <w:t xml:space="preserve"> Refer to the UK Groceries Code Adjudicator Annual Report and Accounts, Performance Report, pages 29 – 40. For example, in 2020-2021, the top three issues reported by suppliers related to (1) compensation for forecasting errors/not preparing forecasts with due care, (2) delay in payments, and (3) obligation to contribute to marketing costs. The report is accessible here: </w:t>
      </w:r>
      <w:hyperlink r:id="rId18" w:history="1">
        <w:r w:rsidRPr="006D62A2">
          <w:rPr>
            <w:rStyle w:val="Hyperlink"/>
            <w:rFonts w:asciiTheme="minorHAnsi" w:hAnsiTheme="minorHAnsi"/>
          </w:rPr>
          <w:t>https://assets.publishing.service.gov.uk/government/uploads/system/uploads/attachment_data/file/995915/Groceries_Code_Adjudicator_Annual_Report_and_Accounts_2020-2021.pdf</w:t>
        </w:r>
      </w:hyperlink>
      <w:r w:rsidR="00AF3F4F">
        <w:t>.</w:t>
      </w:r>
    </w:p>
  </w:footnote>
  <w:footnote w:id="50">
    <w:p w14:paraId="7AD8915F" w14:textId="27D6A4EE" w:rsidR="000C40CB" w:rsidRDefault="000C40CB" w:rsidP="000C40CB">
      <w:pPr>
        <w:pStyle w:val="FootnoteText"/>
      </w:pPr>
      <w:r>
        <w:rPr>
          <w:rStyle w:val="FootnoteReference"/>
        </w:rPr>
        <w:footnoteRef/>
      </w:r>
      <w:r>
        <w:t xml:space="preserve"> Refer to the Australian Food and Grocery Code Independent Reviewer: Annual Report 2020-21, pages 13-19. Accessible here: </w:t>
      </w:r>
      <w:hyperlink r:id="rId19" w:history="1">
        <w:r w:rsidRPr="006D62A2">
          <w:rPr>
            <w:rStyle w:val="Hyperlink"/>
            <w:rFonts w:asciiTheme="minorHAnsi" w:hAnsiTheme="minorHAnsi"/>
          </w:rPr>
          <w:t>https://treasury.gov.au/sites/default/files/2021-11/p2021-229034_0.pdf</w:t>
        </w:r>
      </w:hyperlink>
      <w:r w:rsidR="00AF3F4F">
        <w:t>.</w:t>
      </w:r>
    </w:p>
  </w:footnote>
  <w:footnote w:id="51">
    <w:p w14:paraId="614DD9D4" w14:textId="46A69947" w:rsidR="000C40CB" w:rsidRDefault="000C40CB" w:rsidP="000C40CB">
      <w:pPr>
        <w:pStyle w:val="FootnoteText"/>
      </w:pPr>
      <w:r>
        <w:rPr>
          <w:rStyle w:val="FootnoteReference"/>
        </w:rPr>
        <w:footnoteRef/>
      </w:r>
      <w:r>
        <w:t xml:space="preserve"> The Independent Reviewer is now required to prepare an Annual Report (section 37E). This obligation</w:t>
      </w:r>
      <w:r w:rsidRPr="0092733E">
        <w:t xml:space="preserve"> </w:t>
      </w:r>
      <w:r>
        <w:t xml:space="preserve">was added to the Code following the 2018 review. The Independent Reviewer published their first Annual Report in 2020-21, which is available here: </w:t>
      </w:r>
      <w:hyperlink r:id="rId20" w:history="1">
        <w:r w:rsidRPr="006D62A2">
          <w:rPr>
            <w:rStyle w:val="Hyperlink"/>
            <w:rFonts w:asciiTheme="minorHAnsi" w:hAnsiTheme="minorHAnsi"/>
          </w:rPr>
          <w:t>https://treasury.gov.au/sites/default/files/2021-11/p2021-229034_0.pdf</w:t>
        </w:r>
      </w:hyperlink>
      <w:r>
        <w:t>.</w:t>
      </w:r>
      <w:r w:rsidRPr="0092733E">
        <w:t xml:space="preserve"> </w:t>
      </w:r>
      <w:r>
        <w:t xml:space="preserve">The GCA is required to prepare an Annual Report (section 14, </w:t>
      </w:r>
      <w:r w:rsidRPr="00502DAB">
        <w:t>Groceries Code Adjudicator Act 2013</w:t>
      </w:r>
      <w:r>
        <w:t xml:space="preserve">). The most recent report is available here: </w:t>
      </w:r>
      <w:hyperlink r:id="rId21" w:history="1">
        <w:r w:rsidRPr="00EF1170">
          <w:rPr>
            <w:rStyle w:val="Hyperlink"/>
            <w:rFonts w:asciiTheme="minorHAnsi" w:hAnsiTheme="minorHAnsi"/>
          </w:rPr>
          <w:t>https://assets.publishing.service.gov.uk/government/uploads/system/uploads/attachment_data/file/995915/Groceries_Code_Adjudicator_Annual_Report_and_Accounts_2020-2021.pdf</w:t>
        </w:r>
      </w:hyperlink>
      <w:r w:rsidR="00AF3F4F">
        <w:t>.</w:t>
      </w:r>
    </w:p>
  </w:footnote>
  <w:footnote w:id="52">
    <w:p w14:paraId="55C4CA69" w14:textId="6E22735C" w:rsidR="00077116" w:rsidRPr="001F3E5A" w:rsidRDefault="00077116" w:rsidP="00077116">
      <w:pPr>
        <w:pStyle w:val="FootnoteText"/>
      </w:pPr>
      <w:r>
        <w:rPr>
          <w:rStyle w:val="FootnoteReference"/>
        </w:rPr>
        <w:footnoteRef/>
      </w:r>
      <w:r>
        <w:t xml:space="preserve"> Refer to “</w:t>
      </w:r>
      <w:r w:rsidRPr="001F3E5A">
        <w:t>The supply of groceries in the UK market investigation</w:t>
      </w:r>
      <w:r>
        <w:t xml:space="preserve">” by the UK Competition Commission, on 30 April 2008. at 11.409. Accessible here: </w:t>
      </w:r>
      <w:hyperlink r:id="rId22" w:history="1">
        <w:r w:rsidRPr="00320A42">
          <w:rPr>
            <w:rStyle w:val="Hyperlink"/>
            <w:rFonts w:asciiTheme="minorHAnsi" w:hAnsiTheme="minorHAnsi"/>
          </w:rPr>
          <w:t>https://www.gov.uk/cma-cases/groceries-market-investigation-cc</w:t>
        </w:r>
      </w:hyperlink>
      <w:r w:rsidR="00845B70">
        <w:t>.</w:t>
      </w:r>
    </w:p>
  </w:footnote>
  <w:footnote w:id="53">
    <w:p w14:paraId="02AA7EA6" w14:textId="096E303A" w:rsidR="000C40CB" w:rsidRDefault="000C40CB" w:rsidP="000C40CB">
      <w:pPr>
        <w:pStyle w:val="FootnoteText"/>
      </w:pPr>
      <w:r>
        <w:rPr>
          <w:rStyle w:val="FootnoteReference"/>
        </w:rPr>
        <w:footnoteRef/>
      </w:r>
      <w:r>
        <w:t xml:space="preserve"> Refer to UK’s </w:t>
      </w:r>
      <w:r w:rsidRPr="00F41F30">
        <w:t>Groceries Code Adjudicator Act 2013</w:t>
      </w:r>
      <w:r>
        <w:t xml:space="preserve">, s4. Accessible here: </w:t>
      </w:r>
      <w:hyperlink r:id="rId23" w:history="1">
        <w:r w:rsidR="00AF3F4F" w:rsidRPr="00320A42">
          <w:rPr>
            <w:rStyle w:val="Hyperlink"/>
            <w:rFonts w:asciiTheme="minorHAnsi" w:hAnsiTheme="minorHAnsi"/>
          </w:rPr>
          <w:t>https://www.legislation.gov.uk/</w:t>
        </w:r>
        <w:r w:rsidR="00AF3F4F" w:rsidRPr="00320A42">
          <w:rPr>
            <w:rStyle w:val="Hyperlink"/>
            <w:rFonts w:asciiTheme="minorHAnsi" w:hAnsiTheme="minorHAnsi"/>
          </w:rPr>
          <w:br/>
          <w:t>ukpga/2013/19/enacted</w:t>
        </w:r>
      </w:hyperlink>
      <w:r w:rsidR="00AF3F4F">
        <w:t xml:space="preserve">. </w:t>
      </w:r>
      <w:r>
        <w:t xml:space="preserve">The UK GCA investigation powers have been used twice over the seven years of the GCA (until mid-2021). Refer to Groceries Code Adjudicator Annual Reports and Accounts 2020-2021, at p.20. Accessed here: </w:t>
      </w:r>
      <w:hyperlink r:id="rId24" w:history="1">
        <w:r w:rsidR="007D7838" w:rsidRPr="00320A42">
          <w:rPr>
            <w:rStyle w:val="Hyperlink"/>
            <w:rFonts w:asciiTheme="minorHAnsi" w:hAnsiTheme="minorHAnsi"/>
          </w:rPr>
          <w:t>https://assets.publishing.service.gov.uk/government/uploads/system/uploads/attachment_</w:t>
        </w:r>
        <w:r w:rsidR="007D7838" w:rsidRPr="00320A42">
          <w:rPr>
            <w:rStyle w:val="Hyperlink"/>
            <w:rFonts w:asciiTheme="minorHAnsi" w:hAnsiTheme="minorHAnsi"/>
          </w:rPr>
          <w:br/>
          <w:t>data/file/995915/Groceries_Code_Adjudicator_Annual_Report_and_Accounts_2020-2021.pdf</w:t>
        </w:r>
      </w:hyperlink>
      <w:r w:rsidR="00AF3F4F">
        <w:t>.</w:t>
      </w:r>
    </w:p>
  </w:footnote>
  <w:footnote w:id="54">
    <w:p w14:paraId="61C9579B" w14:textId="77777777" w:rsidR="000C40CB" w:rsidRDefault="000C40CB" w:rsidP="000C40CB">
      <w:pPr>
        <w:pStyle w:val="FootnoteText"/>
      </w:pPr>
      <w:r>
        <w:rPr>
          <w:rStyle w:val="FootnoteReference"/>
        </w:rPr>
        <w:footnoteRef/>
      </w:r>
      <w:r>
        <w:t xml:space="preserve"> This is set by Order of the Secretary of State under section 9(7) and (8) of the Groceries Code Adjudicator Act 2013. Refer to </w:t>
      </w:r>
      <w:r w:rsidRPr="00504CE9">
        <w:t>The Groceries Code Adjudicator (Permitted Maximum Financial Penalty) Order 2015</w:t>
      </w:r>
      <w:r>
        <w:t xml:space="preserve">, accessible at: </w:t>
      </w:r>
      <w:hyperlink r:id="rId25" w:history="1">
        <w:r w:rsidRPr="00EF1170">
          <w:rPr>
            <w:rStyle w:val="Hyperlink"/>
            <w:rFonts w:asciiTheme="minorHAnsi" w:hAnsiTheme="minorHAnsi"/>
          </w:rPr>
          <w:t>https://www.legislation.gov.uk/ukdsi/2015/9780111128213</w:t>
        </w:r>
      </w:hyperlink>
      <w:r>
        <w:t xml:space="preserve">. </w:t>
      </w:r>
    </w:p>
  </w:footnote>
  <w:footnote w:id="55">
    <w:p w14:paraId="15235354" w14:textId="17A3FE71" w:rsidR="00FF76F0" w:rsidRDefault="00FF76F0" w:rsidP="00FF76F0">
      <w:pPr>
        <w:pStyle w:val="FootnoteText"/>
      </w:pPr>
      <w:r>
        <w:rPr>
          <w:rStyle w:val="FootnoteReference"/>
        </w:rPr>
        <w:footnoteRef/>
      </w:r>
      <w:r>
        <w:t xml:space="preserve"> </w:t>
      </w:r>
      <w:r w:rsidR="00AA1652">
        <w:t xml:space="preserve">For the ACCC’s enforcement powers, refer to </w:t>
      </w:r>
      <w:hyperlink r:id="rId26" w:history="1">
        <w:r w:rsidR="00AA1652" w:rsidRPr="00EF1170">
          <w:rPr>
            <w:rStyle w:val="Hyperlink"/>
            <w:rFonts w:asciiTheme="minorHAnsi" w:hAnsiTheme="minorHAnsi"/>
          </w:rPr>
          <w:t>https://www.accc.gov.au/business/industry-codes/food-and-grocery-code-of-conduct/food-and-grocery-code</w:t>
        </w:r>
      </w:hyperlink>
      <w:r w:rsidR="00AA1652">
        <w:t>. For the ACCC’s comments on requiring penalties, r</w:t>
      </w:r>
      <w:r>
        <w:t xml:space="preserve">efer to: </w:t>
      </w:r>
      <w:hyperlink r:id="rId27" w:history="1">
        <w:r w:rsidRPr="00EF1170">
          <w:rPr>
            <w:rStyle w:val="Hyperlink"/>
            <w:rFonts w:asciiTheme="minorHAnsi" w:hAnsiTheme="minorHAnsi"/>
          </w:rPr>
          <w:t>https://treasury.gov.au/sites/default/files/2019-03/c2018-338723-Australian-Competition-and-Consumer-Commission.pdf</w:t>
        </w:r>
      </w:hyperlink>
      <w:r w:rsidR="00AA165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4410" w14:textId="77777777" w:rsidR="005F4672" w:rsidRDefault="00905C92">
    <w:r>
      <w:rPr>
        <w:noProof/>
        <w:lang w:eastAsia="en-NZ"/>
      </w:rPr>
      <w:drawing>
        <wp:inline distT="0" distB="0" distL="0" distR="0" wp14:anchorId="36F20B52" wp14:editId="7EA91344">
          <wp:extent cx="5727700" cy="8089900"/>
          <wp:effectExtent l="0" t="0" r="0" b="0"/>
          <wp:docPr id="6" name="Picture 6" descr="Current Work:MBIE Ministry of Business, Innovation and Employment:MBIE150501 Review of Financial Advisers Act 2008 and Financial Service Providers Act 2008 Issues Paper:MBIE150501-design:Links:cover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ent Work:MBIE Ministry of Business, Innovation and Employment:MBIE150501 Review of Financial Advisers Act 2008 and Financial Service Providers Act 2008 Issues Paper:MBIE150501-design:Links:coverp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089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2DA6" w14:textId="77777777" w:rsidR="005F4672" w:rsidRDefault="00905C92">
    <w:r>
      <w:rPr>
        <w:noProof/>
        <w:lang w:eastAsia="en-NZ"/>
      </w:rPr>
      <w:drawing>
        <wp:anchor distT="0" distB="0" distL="114300" distR="114300" simplePos="0" relativeHeight="251656704" behindDoc="1" locked="0" layoutInCell="1" allowOverlap="1" wp14:anchorId="375506AC" wp14:editId="53EDCEC6">
          <wp:simplePos x="0" y="0"/>
          <wp:positionH relativeFrom="column">
            <wp:posOffset>-919746</wp:posOffset>
          </wp:positionH>
          <wp:positionV relativeFrom="paragraph">
            <wp:posOffset>-449048</wp:posOffset>
          </wp:positionV>
          <wp:extent cx="7559749" cy="10688578"/>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E-Word-doc-gener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749" cy="1068857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F35C" w14:textId="77777777" w:rsidR="00433A7C" w:rsidRDefault="00433A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F117" w14:textId="77777777" w:rsidR="00FB117B" w:rsidRDefault="00FB117B">
    <w:r>
      <w:rPr>
        <w:noProof/>
        <w:lang w:eastAsia="en-NZ"/>
      </w:rPr>
      <w:drawing>
        <wp:anchor distT="0" distB="0" distL="114300" distR="114300" simplePos="0" relativeHeight="251657728" behindDoc="1" locked="0" layoutInCell="1" allowOverlap="1" wp14:anchorId="6522570C" wp14:editId="71724E62">
          <wp:simplePos x="0" y="0"/>
          <wp:positionH relativeFrom="column">
            <wp:posOffset>-914400</wp:posOffset>
          </wp:positionH>
          <wp:positionV relativeFrom="paragraph">
            <wp:posOffset>-374015</wp:posOffset>
          </wp:positionV>
          <wp:extent cx="7556125" cy="10692000"/>
          <wp:effectExtent l="0" t="0" r="0" b="0"/>
          <wp:wrapNone/>
          <wp:docPr id="9" name="Picture 9" descr="Current Work:MBIE Ministry of Business, Innovation and Employment:MBIE150501 Review of Financial Advisers Act 2008 and Financial Service Providers Act 2008 Issues Paper:MBIE150501-design:Links:Howtohaveyoursay-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Work:MBIE Ministry of Business, Innovation and Employment:MBIE150501 Review of Financial Advisers Act 2008 and Financial Service Providers Act 2008 Issues Paper:MBIE150501-design:Links:Howtohaveyoursay-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125"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074F" w14:textId="3E009545" w:rsidR="0053778E" w:rsidRPr="00876943" w:rsidRDefault="0074633B" w:rsidP="008769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5E1"/>
    <w:multiLevelType w:val="hybridMultilevel"/>
    <w:tmpl w:val="6C1042E8"/>
    <w:lvl w:ilvl="0" w:tplc="FB18581A">
      <w:start w:val="4"/>
      <w:numFmt w:val="bullet"/>
      <w:lvlText w:val="-"/>
      <w:lvlJc w:val="left"/>
      <w:pPr>
        <w:ind w:left="1004" w:hanging="360"/>
      </w:pPr>
      <w:rPr>
        <w:rFonts w:ascii="Calibri" w:eastAsiaTheme="minorHAnsi" w:hAnsi="Calibri" w:cs="Calibri"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 w15:restartNumberingAfterBreak="0">
    <w:nsid w:val="09083A52"/>
    <w:multiLevelType w:val="hybridMultilevel"/>
    <w:tmpl w:val="97A2ADE4"/>
    <w:lvl w:ilvl="0" w:tplc="A38260D8">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3D4ADE"/>
    <w:multiLevelType w:val="multilevel"/>
    <w:tmpl w:val="09E4B65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1C2F6A83"/>
    <w:multiLevelType w:val="hybridMultilevel"/>
    <w:tmpl w:val="A9361986"/>
    <w:lvl w:ilvl="0" w:tplc="3630175A">
      <w:start w:val="1"/>
      <w:numFmt w:val="decimal"/>
      <w:pStyle w:val="Heading1"/>
      <w:lvlText w:val="%1"/>
      <w:lvlJc w:val="left"/>
      <w:pPr>
        <w:ind w:left="720" w:hanging="360"/>
      </w:pPr>
      <w:rPr>
        <w:rFonts w:hint="default"/>
      </w:rPr>
    </w:lvl>
    <w:lvl w:ilvl="1" w:tplc="14090019">
      <w:start w:val="1"/>
      <w:numFmt w:val="lowerLetter"/>
      <w:lvlText w:val="%2."/>
      <w:lvlJc w:val="left"/>
      <w:pPr>
        <w:ind w:left="1440" w:hanging="360"/>
      </w:pPr>
    </w:lvl>
    <w:lvl w:ilvl="2" w:tplc="90B88D22">
      <w:start w:val="1"/>
      <w:numFmt w:val="decimal"/>
      <w:lvlText w:val="%3)"/>
      <w:lvlJc w:val="left"/>
      <w:pPr>
        <w:ind w:left="2340" w:hanging="360"/>
      </w:pPr>
      <w:rPr>
        <w:rFonts w:hint="default"/>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E50F31"/>
    <w:multiLevelType w:val="multilevel"/>
    <w:tmpl w:val="17E88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C44035"/>
    <w:multiLevelType w:val="hybridMultilevel"/>
    <w:tmpl w:val="5F1644AE"/>
    <w:lvl w:ilvl="0" w:tplc="43DE1086">
      <w:start w:val="12"/>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8D33BEA"/>
    <w:multiLevelType w:val="hybridMultilevel"/>
    <w:tmpl w:val="12140026"/>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BE15CB9"/>
    <w:multiLevelType w:val="hybridMultilevel"/>
    <w:tmpl w:val="A4004698"/>
    <w:lvl w:ilvl="0" w:tplc="14090017">
      <w:start w:val="1"/>
      <w:numFmt w:val="lowerLetter"/>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E4F24CF"/>
    <w:multiLevelType w:val="multilevel"/>
    <w:tmpl w:val="EDEE7DE4"/>
    <w:styleLink w:val="Smalltabletext-bullets"/>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EE34B0"/>
    <w:multiLevelType w:val="hybridMultilevel"/>
    <w:tmpl w:val="03ECC14C"/>
    <w:lvl w:ilvl="0" w:tplc="18BEB75E">
      <w:start w:val="1"/>
      <w:numFmt w:val="lowerLetter"/>
      <w:lvlText w:val="%1)"/>
      <w:lvlJc w:val="left"/>
      <w:pPr>
        <w:ind w:left="360" w:hanging="360"/>
      </w:pPr>
      <w:rPr>
        <w:rFonts w:hint="default"/>
        <w:b w:val="0"/>
        <w:bCs w:val="0"/>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161670F"/>
    <w:multiLevelType w:val="hybridMultilevel"/>
    <w:tmpl w:val="121AD712"/>
    <w:lvl w:ilvl="0" w:tplc="7D0A5254">
      <w:start w:val="1"/>
      <w:numFmt w:val="decimal"/>
      <w:pStyle w:val="Questionnumber"/>
      <w:lvlText w:val="%1"/>
      <w:lvlJc w:val="left"/>
      <w:pPr>
        <w:ind w:left="360" w:hanging="360"/>
      </w:pPr>
      <w:rPr>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938" w:hanging="360"/>
      </w:pPr>
    </w:lvl>
    <w:lvl w:ilvl="2" w:tplc="1409001B" w:tentative="1">
      <w:start w:val="1"/>
      <w:numFmt w:val="lowerRoman"/>
      <w:lvlText w:val="%3."/>
      <w:lvlJc w:val="right"/>
      <w:pPr>
        <w:ind w:left="1658" w:hanging="180"/>
      </w:pPr>
    </w:lvl>
    <w:lvl w:ilvl="3" w:tplc="1409000F" w:tentative="1">
      <w:start w:val="1"/>
      <w:numFmt w:val="decimal"/>
      <w:lvlText w:val="%4."/>
      <w:lvlJc w:val="left"/>
      <w:pPr>
        <w:ind w:left="2378" w:hanging="360"/>
      </w:pPr>
    </w:lvl>
    <w:lvl w:ilvl="4" w:tplc="14090019" w:tentative="1">
      <w:start w:val="1"/>
      <w:numFmt w:val="lowerLetter"/>
      <w:lvlText w:val="%5."/>
      <w:lvlJc w:val="left"/>
      <w:pPr>
        <w:ind w:left="3098" w:hanging="360"/>
      </w:pPr>
    </w:lvl>
    <w:lvl w:ilvl="5" w:tplc="1409001B" w:tentative="1">
      <w:start w:val="1"/>
      <w:numFmt w:val="lowerRoman"/>
      <w:lvlText w:val="%6."/>
      <w:lvlJc w:val="right"/>
      <w:pPr>
        <w:ind w:left="3818" w:hanging="180"/>
      </w:pPr>
    </w:lvl>
    <w:lvl w:ilvl="6" w:tplc="1409000F" w:tentative="1">
      <w:start w:val="1"/>
      <w:numFmt w:val="decimal"/>
      <w:lvlText w:val="%7."/>
      <w:lvlJc w:val="left"/>
      <w:pPr>
        <w:ind w:left="4538" w:hanging="360"/>
      </w:pPr>
    </w:lvl>
    <w:lvl w:ilvl="7" w:tplc="14090019" w:tentative="1">
      <w:start w:val="1"/>
      <w:numFmt w:val="lowerLetter"/>
      <w:lvlText w:val="%8."/>
      <w:lvlJc w:val="left"/>
      <w:pPr>
        <w:ind w:left="5258" w:hanging="360"/>
      </w:pPr>
    </w:lvl>
    <w:lvl w:ilvl="8" w:tplc="1409001B" w:tentative="1">
      <w:start w:val="1"/>
      <w:numFmt w:val="lowerRoman"/>
      <w:lvlText w:val="%9."/>
      <w:lvlJc w:val="right"/>
      <w:pPr>
        <w:ind w:left="5978" w:hanging="180"/>
      </w:pPr>
    </w:lvl>
  </w:abstractNum>
  <w:abstractNum w:abstractNumId="11" w15:restartNumberingAfterBreak="0">
    <w:nsid w:val="468938AA"/>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DD1BE1"/>
    <w:multiLevelType w:val="hybridMultilevel"/>
    <w:tmpl w:val="15E449B4"/>
    <w:lvl w:ilvl="0" w:tplc="03BE082E">
      <w:start w:val="1"/>
      <w:numFmt w:val="lowerLetter"/>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498C3F05"/>
    <w:multiLevelType w:val="hybridMultilevel"/>
    <w:tmpl w:val="40A2FB78"/>
    <w:lvl w:ilvl="0" w:tplc="C3C8634C">
      <w:start w:val="1"/>
      <w:numFmt w:val="lowerLetter"/>
      <w:lvlText w:val="%1)"/>
      <w:lvlJc w:val="left"/>
      <w:pPr>
        <w:ind w:left="360" w:hanging="360"/>
      </w:pPr>
      <w:rPr>
        <w:rFonts w:hint="default"/>
        <w:b w:val="0"/>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548410C0"/>
    <w:multiLevelType w:val="multilevel"/>
    <w:tmpl w:val="09E4B656"/>
    <w:lvl w:ilvl="0">
      <w:start w:val="1"/>
      <w:numFmt w:val="decimal"/>
      <w:pStyle w:val="BodyText-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54B03B39"/>
    <w:multiLevelType w:val="multilevel"/>
    <w:tmpl w:val="21A4F6D6"/>
    <w:lvl w:ilvl="0">
      <w:start w:val="1"/>
      <w:numFmt w:val="bullet"/>
      <w:pStyle w:val="BulletsIndented"/>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16" w15:restartNumberingAfterBreak="0">
    <w:nsid w:val="616B1946"/>
    <w:multiLevelType w:val="multilevel"/>
    <w:tmpl w:val="E890745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val="0"/>
        <w:bCs w:val="0"/>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675F0155"/>
    <w:multiLevelType w:val="multilevel"/>
    <w:tmpl w:val="B0541DA6"/>
    <w:lvl w:ilvl="0">
      <w:start w:val="1"/>
      <w:numFmt w:val="bullet"/>
      <w:pStyle w:val="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698E3272"/>
    <w:multiLevelType w:val="hybridMultilevel"/>
    <w:tmpl w:val="96142126"/>
    <w:lvl w:ilvl="0" w:tplc="0A76C6C6">
      <w:start w:val="1"/>
      <w:numFmt w:val="lowerLetter"/>
      <w:lvlText w:val="(%1)"/>
      <w:lvlJc w:val="left"/>
      <w:pPr>
        <w:ind w:left="360" w:hanging="360"/>
      </w:pPr>
      <w:rPr>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6E05027C"/>
    <w:multiLevelType w:val="hybridMultilevel"/>
    <w:tmpl w:val="BA4EB3A2"/>
    <w:lvl w:ilvl="0" w:tplc="D4B81DD6">
      <w:start w:val="1"/>
      <w:numFmt w:val="lowerLetter"/>
      <w:lvlText w:val="%1)"/>
      <w:lvlJc w:val="left"/>
      <w:pPr>
        <w:ind w:left="360" w:hanging="360"/>
      </w:pPr>
      <w:rPr>
        <w:rFonts w:hint="default"/>
        <w:b w:val="0"/>
        <w:bCs w:val="0"/>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11D3324"/>
    <w:multiLevelType w:val="multilevel"/>
    <w:tmpl w:val="4DB0F22E"/>
    <w:lvl w:ilvl="0">
      <w:start w:val="1"/>
      <w:numFmt w:val="decimal"/>
      <w:pStyle w:val="Numbered"/>
      <w:lvlText w:val="%1."/>
      <w:lvlJc w:val="left"/>
      <w:pPr>
        <w:ind w:left="567" w:hanging="567"/>
      </w:pPr>
      <w:rPr>
        <w:rFonts w:hint="default"/>
        <w:b w:val="0"/>
        <w:i w:val="0"/>
        <w:iCs w:val="0"/>
        <w:color w:val="auto"/>
        <w:sz w:val="22"/>
        <w:szCs w:val="22"/>
      </w:rPr>
    </w:lvl>
    <w:lvl w:ilvl="1">
      <w:start w:val="1"/>
      <w:numFmt w:val="lowerLetter"/>
      <w:lvlText w:val="%2."/>
      <w:lvlJc w:val="left"/>
      <w:pPr>
        <w:ind w:left="1134" w:hanging="567"/>
      </w:pPr>
      <w:rPr>
        <w:rFonts w:hint="default"/>
        <w:b w:val="0"/>
        <w:bCs w:val="0"/>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1" w15:restartNumberingAfterBreak="0">
    <w:nsid w:val="798A71BB"/>
    <w:multiLevelType w:val="hybridMultilevel"/>
    <w:tmpl w:val="12140026"/>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0"/>
  </w:num>
  <w:num w:numId="2">
    <w:abstractNumId w:val="10"/>
  </w:num>
  <w:num w:numId="3">
    <w:abstractNumId w:val="3"/>
  </w:num>
  <w:num w:numId="4">
    <w:abstractNumId w:val="15"/>
  </w:num>
  <w:num w:numId="5">
    <w:abstractNumId w:val="17"/>
  </w:num>
  <w:num w:numId="6">
    <w:abstractNumId w:val="8"/>
  </w:num>
  <w:num w:numId="7">
    <w:abstractNumId w:val="14"/>
  </w:num>
  <w:num w:numId="8">
    <w:abstractNumId w:val="1"/>
  </w:num>
  <w:num w:numId="9">
    <w:abstractNumId w:val="16"/>
  </w:num>
  <w:num w:numId="10">
    <w:abstractNumId w:val="2"/>
  </w:num>
  <w:num w:numId="11">
    <w:abstractNumId w:val="9"/>
  </w:num>
  <w:num w:numId="12">
    <w:abstractNumId w:val="18"/>
  </w:num>
  <w:num w:numId="13">
    <w:abstractNumId w:val="11"/>
  </w:num>
  <w:num w:numId="14">
    <w:abstractNumId w:val="21"/>
  </w:num>
  <w:num w:numId="15">
    <w:abstractNumId w:val="12"/>
  </w:num>
  <w:num w:numId="16">
    <w:abstractNumId w:val="0"/>
  </w:num>
  <w:num w:numId="17">
    <w:abstractNumId w:val="10"/>
    <w:lvlOverride w:ilvl="0">
      <w:startOverride w:val="1"/>
    </w:lvlOverride>
  </w:num>
  <w:num w:numId="18">
    <w:abstractNumId w:val="5"/>
  </w:num>
  <w:num w:numId="19">
    <w:abstractNumId w:val="20"/>
    <w:lvlOverride w:ilvl="0">
      <w:lvl w:ilvl="0">
        <w:start w:val="1"/>
        <w:numFmt w:val="decimal"/>
        <w:pStyle w:val="Numbered"/>
        <w:lvlText w:val="%1."/>
        <w:lvlJc w:val="left"/>
        <w:pPr>
          <w:ind w:left="567" w:hanging="567"/>
        </w:pPr>
        <w:rPr>
          <w:rFonts w:hint="default"/>
          <w:b w:val="0"/>
          <w:i w:val="0"/>
          <w:iCs w:val="0"/>
          <w:color w:val="auto"/>
          <w:sz w:val="22"/>
          <w:szCs w:val="22"/>
        </w:rPr>
      </w:lvl>
    </w:lvlOverride>
    <w:lvlOverride w:ilvl="1">
      <w:lvl w:ilvl="1">
        <w:start w:val="1"/>
        <w:numFmt w:val="lowerLetter"/>
        <w:lvlText w:val="%2."/>
        <w:lvlJc w:val="left"/>
        <w:pPr>
          <w:ind w:left="1134" w:hanging="510"/>
        </w:pPr>
        <w:rPr>
          <w:rFonts w:hint="default"/>
          <w:b w:val="0"/>
          <w:bCs w:val="0"/>
        </w:rPr>
      </w:lvl>
    </w:lvlOverride>
    <w:lvlOverride w:ilvl="2">
      <w:lvl w:ilvl="2">
        <w:start w:val="1"/>
        <w:numFmt w:val="lowerRoman"/>
        <w:lvlText w:val="%3."/>
        <w:lvlJc w:val="right"/>
        <w:pPr>
          <w:ind w:left="1361" w:hanging="170"/>
        </w:pPr>
        <w:rPr>
          <w:rFonts w:hint="default"/>
        </w:rPr>
      </w:lvl>
    </w:lvlOverride>
    <w:lvlOverride w:ilvl="3">
      <w:lvl w:ilvl="3">
        <w:start w:val="1"/>
        <w:numFmt w:val="decimal"/>
        <w:lvlText w:val="%4."/>
        <w:lvlJc w:val="left"/>
        <w:pPr>
          <w:ind w:left="1569" w:hanging="357"/>
        </w:pPr>
        <w:rPr>
          <w:rFonts w:hint="default"/>
        </w:rPr>
      </w:lvl>
    </w:lvlOverride>
    <w:lvlOverride w:ilvl="4">
      <w:lvl w:ilvl="4">
        <w:start w:val="1"/>
        <w:numFmt w:val="lowerLetter"/>
        <w:lvlText w:val="%5."/>
        <w:lvlJc w:val="left"/>
        <w:pPr>
          <w:ind w:left="1926" w:hanging="357"/>
        </w:pPr>
        <w:rPr>
          <w:rFonts w:hint="default"/>
        </w:rPr>
      </w:lvl>
    </w:lvlOverride>
    <w:lvlOverride w:ilvl="5">
      <w:lvl w:ilvl="5">
        <w:start w:val="1"/>
        <w:numFmt w:val="lowerRoman"/>
        <w:lvlText w:val="%6."/>
        <w:lvlJc w:val="right"/>
        <w:pPr>
          <w:ind w:left="2283" w:hanging="357"/>
        </w:pPr>
        <w:rPr>
          <w:rFonts w:hint="default"/>
        </w:rPr>
      </w:lvl>
    </w:lvlOverride>
    <w:lvlOverride w:ilvl="6">
      <w:lvl w:ilvl="6">
        <w:start w:val="1"/>
        <w:numFmt w:val="decimal"/>
        <w:lvlText w:val="%7."/>
        <w:lvlJc w:val="left"/>
        <w:pPr>
          <w:ind w:left="2640" w:hanging="357"/>
        </w:pPr>
        <w:rPr>
          <w:rFonts w:hint="default"/>
        </w:rPr>
      </w:lvl>
    </w:lvlOverride>
    <w:lvlOverride w:ilvl="7">
      <w:lvl w:ilvl="7">
        <w:start w:val="1"/>
        <w:numFmt w:val="lowerLetter"/>
        <w:lvlText w:val="%8."/>
        <w:lvlJc w:val="left"/>
        <w:pPr>
          <w:ind w:left="2997" w:hanging="357"/>
        </w:pPr>
        <w:rPr>
          <w:rFonts w:hint="default"/>
        </w:rPr>
      </w:lvl>
    </w:lvlOverride>
    <w:lvlOverride w:ilvl="8">
      <w:lvl w:ilvl="8">
        <w:start w:val="1"/>
        <w:numFmt w:val="lowerRoman"/>
        <w:lvlText w:val="%9."/>
        <w:lvlJc w:val="right"/>
        <w:pPr>
          <w:ind w:left="3354" w:hanging="357"/>
        </w:pPr>
        <w:rPr>
          <w:rFonts w:hint="default"/>
        </w:rPr>
      </w:lvl>
    </w:lvlOverride>
  </w:num>
  <w:num w:numId="20">
    <w:abstractNumId w:val="20"/>
    <w:lvlOverride w:ilvl="0">
      <w:lvl w:ilvl="0">
        <w:start w:val="1"/>
        <w:numFmt w:val="decimal"/>
        <w:pStyle w:val="Numbered"/>
        <w:lvlText w:val="%1."/>
        <w:lvlJc w:val="left"/>
        <w:pPr>
          <w:ind w:left="567" w:hanging="567"/>
        </w:pPr>
        <w:rPr>
          <w:rFonts w:hint="default"/>
          <w:b w:val="0"/>
          <w:i w:val="0"/>
          <w:iCs w:val="0"/>
          <w:color w:val="auto"/>
          <w:sz w:val="22"/>
          <w:szCs w:val="22"/>
        </w:rPr>
      </w:lvl>
    </w:lvlOverride>
    <w:lvlOverride w:ilvl="1">
      <w:lvl w:ilvl="1">
        <w:start w:val="1"/>
        <w:numFmt w:val="lowerLetter"/>
        <w:lvlText w:val="%2."/>
        <w:lvlJc w:val="left"/>
        <w:pPr>
          <w:ind w:left="1191" w:hanging="567"/>
        </w:pPr>
        <w:rPr>
          <w:rFonts w:hint="default"/>
          <w:b w:val="0"/>
          <w:bCs w:val="0"/>
        </w:rPr>
      </w:lvl>
    </w:lvlOverride>
    <w:lvlOverride w:ilvl="2">
      <w:lvl w:ilvl="2">
        <w:start w:val="1"/>
        <w:numFmt w:val="lowerRoman"/>
        <w:lvlText w:val="%3."/>
        <w:lvlJc w:val="right"/>
        <w:pPr>
          <w:ind w:left="1815" w:hanging="567"/>
        </w:pPr>
        <w:rPr>
          <w:rFonts w:hint="default"/>
        </w:rPr>
      </w:lvl>
    </w:lvlOverride>
    <w:lvlOverride w:ilvl="3">
      <w:lvl w:ilvl="3">
        <w:start w:val="1"/>
        <w:numFmt w:val="decimal"/>
        <w:lvlText w:val="%4."/>
        <w:lvlJc w:val="left"/>
        <w:pPr>
          <w:ind w:left="2439" w:hanging="567"/>
        </w:pPr>
        <w:rPr>
          <w:rFonts w:hint="default"/>
        </w:rPr>
      </w:lvl>
    </w:lvlOverride>
    <w:lvlOverride w:ilvl="4">
      <w:lvl w:ilvl="4">
        <w:start w:val="1"/>
        <w:numFmt w:val="lowerLetter"/>
        <w:lvlText w:val="%5."/>
        <w:lvlJc w:val="left"/>
        <w:pPr>
          <w:ind w:left="3063" w:hanging="567"/>
        </w:pPr>
        <w:rPr>
          <w:rFonts w:hint="default"/>
        </w:rPr>
      </w:lvl>
    </w:lvlOverride>
    <w:lvlOverride w:ilvl="5">
      <w:lvl w:ilvl="5">
        <w:start w:val="1"/>
        <w:numFmt w:val="lowerRoman"/>
        <w:lvlText w:val="%6."/>
        <w:lvlJc w:val="right"/>
        <w:pPr>
          <w:ind w:left="3687" w:hanging="567"/>
        </w:pPr>
        <w:rPr>
          <w:rFonts w:hint="default"/>
        </w:rPr>
      </w:lvl>
    </w:lvlOverride>
    <w:lvlOverride w:ilvl="6">
      <w:lvl w:ilvl="6">
        <w:start w:val="1"/>
        <w:numFmt w:val="decimal"/>
        <w:lvlText w:val="%7."/>
        <w:lvlJc w:val="left"/>
        <w:pPr>
          <w:ind w:left="4311" w:hanging="567"/>
        </w:pPr>
        <w:rPr>
          <w:rFonts w:hint="default"/>
        </w:rPr>
      </w:lvl>
    </w:lvlOverride>
    <w:lvlOverride w:ilvl="7">
      <w:lvl w:ilvl="7">
        <w:start w:val="1"/>
        <w:numFmt w:val="lowerLetter"/>
        <w:lvlText w:val="%8."/>
        <w:lvlJc w:val="left"/>
        <w:pPr>
          <w:ind w:left="4935" w:hanging="567"/>
        </w:pPr>
        <w:rPr>
          <w:rFonts w:hint="default"/>
        </w:rPr>
      </w:lvl>
    </w:lvlOverride>
    <w:lvlOverride w:ilvl="8">
      <w:lvl w:ilvl="8">
        <w:start w:val="1"/>
        <w:numFmt w:val="lowerRoman"/>
        <w:lvlText w:val="%9."/>
        <w:lvlJc w:val="right"/>
        <w:pPr>
          <w:ind w:left="5559" w:hanging="567"/>
        </w:pPr>
        <w:rPr>
          <w:rFonts w:hint="default"/>
        </w:rPr>
      </w:lvl>
    </w:lvlOverride>
  </w:num>
  <w:num w:numId="21">
    <w:abstractNumId w:val="6"/>
  </w:num>
  <w:num w:numId="22">
    <w:abstractNumId w:val="4"/>
  </w:num>
  <w:num w:numId="23">
    <w:abstractNumId w:val="19"/>
  </w:num>
  <w:num w:numId="24">
    <w:abstractNumId w:val="7"/>
  </w:num>
  <w:num w:numId="25">
    <w:abstractNumId w:val="13"/>
  </w:num>
  <w:num w:numId="2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15"/>
    <w:rsid w:val="00000324"/>
    <w:rsid w:val="00000BFB"/>
    <w:rsid w:val="000015D4"/>
    <w:rsid w:val="00002BBC"/>
    <w:rsid w:val="000030C9"/>
    <w:rsid w:val="00004B70"/>
    <w:rsid w:val="00005630"/>
    <w:rsid w:val="0000676D"/>
    <w:rsid w:val="00007CFE"/>
    <w:rsid w:val="00011DBC"/>
    <w:rsid w:val="00011E7C"/>
    <w:rsid w:val="00014A71"/>
    <w:rsid w:val="000152C0"/>
    <w:rsid w:val="0002161C"/>
    <w:rsid w:val="0002253F"/>
    <w:rsid w:val="00022999"/>
    <w:rsid w:val="00024D18"/>
    <w:rsid w:val="0002572A"/>
    <w:rsid w:val="00025B42"/>
    <w:rsid w:val="000264ED"/>
    <w:rsid w:val="00026B4D"/>
    <w:rsid w:val="00027A4D"/>
    <w:rsid w:val="00030389"/>
    <w:rsid w:val="000304B3"/>
    <w:rsid w:val="000315E8"/>
    <w:rsid w:val="00032781"/>
    <w:rsid w:val="00032C01"/>
    <w:rsid w:val="000346BE"/>
    <w:rsid w:val="00035074"/>
    <w:rsid w:val="00035208"/>
    <w:rsid w:val="00036AC6"/>
    <w:rsid w:val="0003761E"/>
    <w:rsid w:val="00037923"/>
    <w:rsid w:val="00037E77"/>
    <w:rsid w:val="00040AD7"/>
    <w:rsid w:val="00042119"/>
    <w:rsid w:val="0004297E"/>
    <w:rsid w:val="00044211"/>
    <w:rsid w:val="00044E26"/>
    <w:rsid w:val="00047139"/>
    <w:rsid w:val="00052D51"/>
    <w:rsid w:val="00053323"/>
    <w:rsid w:val="00053406"/>
    <w:rsid w:val="000546E4"/>
    <w:rsid w:val="00054732"/>
    <w:rsid w:val="000547EE"/>
    <w:rsid w:val="000548C9"/>
    <w:rsid w:val="00054B5F"/>
    <w:rsid w:val="00054B96"/>
    <w:rsid w:val="0005552F"/>
    <w:rsid w:val="00056270"/>
    <w:rsid w:val="00057FF9"/>
    <w:rsid w:val="00060316"/>
    <w:rsid w:val="00060A55"/>
    <w:rsid w:val="0006109E"/>
    <w:rsid w:val="00062585"/>
    <w:rsid w:val="0006282F"/>
    <w:rsid w:val="000640C2"/>
    <w:rsid w:val="00064A50"/>
    <w:rsid w:val="000654E7"/>
    <w:rsid w:val="00065636"/>
    <w:rsid w:val="000662E2"/>
    <w:rsid w:val="00066872"/>
    <w:rsid w:val="00071260"/>
    <w:rsid w:val="00072DF1"/>
    <w:rsid w:val="00072FC5"/>
    <w:rsid w:val="00073385"/>
    <w:rsid w:val="0007398E"/>
    <w:rsid w:val="000745F6"/>
    <w:rsid w:val="00074E32"/>
    <w:rsid w:val="00076664"/>
    <w:rsid w:val="00076725"/>
    <w:rsid w:val="00077116"/>
    <w:rsid w:val="00077129"/>
    <w:rsid w:val="0007732C"/>
    <w:rsid w:val="00077ABF"/>
    <w:rsid w:val="00080436"/>
    <w:rsid w:val="00082194"/>
    <w:rsid w:val="000822C8"/>
    <w:rsid w:val="000834B5"/>
    <w:rsid w:val="00084D66"/>
    <w:rsid w:val="00084F6E"/>
    <w:rsid w:val="0008559B"/>
    <w:rsid w:val="000857E0"/>
    <w:rsid w:val="000864F7"/>
    <w:rsid w:val="0008674B"/>
    <w:rsid w:val="0008746A"/>
    <w:rsid w:val="00087AE4"/>
    <w:rsid w:val="00087E43"/>
    <w:rsid w:val="00090E48"/>
    <w:rsid w:val="00091F0C"/>
    <w:rsid w:val="00092624"/>
    <w:rsid w:val="00093A77"/>
    <w:rsid w:val="00095AE8"/>
    <w:rsid w:val="00095D9C"/>
    <w:rsid w:val="00096770"/>
    <w:rsid w:val="00096913"/>
    <w:rsid w:val="00097B9C"/>
    <w:rsid w:val="000A099E"/>
    <w:rsid w:val="000A1089"/>
    <w:rsid w:val="000A19A3"/>
    <w:rsid w:val="000A55D5"/>
    <w:rsid w:val="000A65DD"/>
    <w:rsid w:val="000A6C2A"/>
    <w:rsid w:val="000B0356"/>
    <w:rsid w:val="000B2557"/>
    <w:rsid w:val="000B2725"/>
    <w:rsid w:val="000B3DAE"/>
    <w:rsid w:val="000B4613"/>
    <w:rsid w:val="000B5477"/>
    <w:rsid w:val="000B6E61"/>
    <w:rsid w:val="000B701C"/>
    <w:rsid w:val="000B7098"/>
    <w:rsid w:val="000B7798"/>
    <w:rsid w:val="000B797D"/>
    <w:rsid w:val="000C0384"/>
    <w:rsid w:val="000C2229"/>
    <w:rsid w:val="000C29BB"/>
    <w:rsid w:val="000C40CB"/>
    <w:rsid w:val="000C418F"/>
    <w:rsid w:val="000C558D"/>
    <w:rsid w:val="000C66A2"/>
    <w:rsid w:val="000C6FD4"/>
    <w:rsid w:val="000C70DF"/>
    <w:rsid w:val="000C7983"/>
    <w:rsid w:val="000D0B3F"/>
    <w:rsid w:val="000D194A"/>
    <w:rsid w:val="000D23A0"/>
    <w:rsid w:val="000D2CFF"/>
    <w:rsid w:val="000D2E8D"/>
    <w:rsid w:val="000D385E"/>
    <w:rsid w:val="000D3B6D"/>
    <w:rsid w:val="000D49FD"/>
    <w:rsid w:val="000D60E2"/>
    <w:rsid w:val="000D682E"/>
    <w:rsid w:val="000D7198"/>
    <w:rsid w:val="000E048D"/>
    <w:rsid w:val="000E0686"/>
    <w:rsid w:val="000E0A4F"/>
    <w:rsid w:val="000E2C3E"/>
    <w:rsid w:val="000E44D0"/>
    <w:rsid w:val="000E4F56"/>
    <w:rsid w:val="000E6A4D"/>
    <w:rsid w:val="000E7410"/>
    <w:rsid w:val="000F05D7"/>
    <w:rsid w:val="000F086B"/>
    <w:rsid w:val="000F1783"/>
    <w:rsid w:val="000F2003"/>
    <w:rsid w:val="000F22AD"/>
    <w:rsid w:val="000F2AA5"/>
    <w:rsid w:val="000F32B1"/>
    <w:rsid w:val="000F334D"/>
    <w:rsid w:val="000F475D"/>
    <w:rsid w:val="000F5DC7"/>
    <w:rsid w:val="000F68B3"/>
    <w:rsid w:val="000F6DB0"/>
    <w:rsid w:val="0010009D"/>
    <w:rsid w:val="00100417"/>
    <w:rsid w:val="00100BC5"/>
    <w:rsid w:val="001038ED"/>
    <w:rsid w:val="00103CCB"/>
    <w:rsid w:val="00106485"/>
    <w:rsid w:val="00107016"/>
    <w:rsid w:val="00107398"/>
    <w:rsid w:val="00110D45"/>
    <w:rsid w:val="00110F0E"/>
    <w:rsid w:val="00111D23"/>
    <w:rsid w:val="00112B34"/>
    <w:rsid w:val="00114016"/>
    <w:rsid w:val="001154B5"/>
    <w:rsid w:val="00115C42"/>
    <w:rsid w:val="00115E86"/>
    <w:rsid w:val="00117FCF"/>
    <w:rsid w:val="0012148B"/>
    <w:rsid w:val="001238B3"/>
    <w:rsid w:val="00124725"/>
    <w:rsid w:val="0012513C"/>
    <w:rsid w:val="0012625A"/>
    <w:rsid w:val="00126CD2"/>
    <w:rsid w:val="0012771D"/>
    <w:rsid w:val="00130F15"/>
    <w:rsid w:val="001314F9"/>
    <w:rsid w:val="001316CB"/>
    <w:rsid w:val="00131BC2"/>
    <w:rsid w:val="00131F5F"/>
    <w:rsid w:val="00132402"/>
    <w:rsid w:val="0013398E"/>
    <w:rsid w:val="00133AE6"/>
    <w:rsid w:val="00133C14"/>
    <w:rsid w:val="001361AA"/>
    <w:rsid w:val="00136EB3"/>
    <w:rsid w:val="00140609"/>
    <w:rsid w:val="00141601"/>
    <w:rsid w:val="001421FA"/>
    <w:rsid w:val="00142B8A"/>
    <w:rsid w:val="00143121"/>
    <w:rsid w:val="00143A52"/>
    <w:rsid w:val="001457F7"/>
    <w:rsid w:val="00146B19"/>
    <w:rsid w:val="00146E42"/>
    <w:rsid w:val="0014722D"/>
    <w:rsid w:val="00150B56"/>
    <w:rsid w:val="001510E3"/>
    <w:rsid w:val="00151218"/>
    <w:rsid w:val="001522F9"/>
    <w:rsid w:val="00152406"/>
    <w:rsid w:val="001530DA"/>
    <w:rsid w:val="00154391"/>
    <w:rsid w:val="00155FC8"/>
    <w:rsid w:val="0015773A"/>
    <w:rsid w:val="00157F4D"/>
    <w:rsid w:val="001604BA"/>
    <w:rsid w:val="00161395"/>
    <w:rsid w:val="001619CD"/>
    <w:rsid w:val="001621E9"/>
    <w:rsid w:val="00162A04"/>
    <w:rsid w:val="00162AEA"/>
    <w:rsid w:val="00163797"/>
    <w:rsid w:val="0016476B"/>
    <w:rsid w:val="00165236"/>
    <w:rsid w:val="001655ED"/>
    <w:rsid w:val="00165B81"/>
    <w:rsid w:val="001662DC"/>
    <w:rsid w:val="001667F7"/>
    <w:rsid w:val="0017051B"/>
    <w:rsid w:val="001735FF"/>
    <w:rsid w:val="00173630"/>
    <w:rsid w:val="0017436C"/>
    <w:rsid w:val="00174A45"/>
    <w:rsid w:val="0017777F"/>
    <w:rsid w:val="00177FDF"/>
    <w:rsid w:val="0018010A"/>
    <w:rsid w:val="001826F7"/>
    <w:rsid w:val="00182735"/>
    <w:rsid w:val="00182D73"/>
    <w:rsid w:val="00183C11"/>
    <w:rsid w:val="00184B2C"/>
    <w:rsid w:val="00185DBA"/>
    <w:rsid w:val="00186A32"/>
    <w:rsid w:val="0018761E"/>
    <w:rsid w:val="00187FD8"/>
    <w:rsid w:val="001914C1"/>
    <w:rsid w:val="00191B51"/>
    <w:rsid w:val="00192727"/>
    <w:rsid w:val="001930E5"/>
    <w:rsid w:val="00193109"/>
    <w:rsid w:val="001941B1"/>
    <w:rsid w:val="00196120"/>
    <w:rsid w:val="00197F36"/>
    <w:rsid w:val="001A03AB"/>
    <w:rsid w:val="001A0FB6"/>
    <w:rsid w:val="001A2390"/>
    <w:rsid w:val="001A3640"/>
    <w:rsid w:val="001A4197"/>
    <w:rsid w:val="001A4968"/>
    <w:rsid w:val="001A50AF"/>
    <w:rsid w:val="001A50C2"/>
    <w:rsid w:val="001A5125"/>
    <w:rsid w:val="001A6518"/>
    <w:rsid w:val="001A679A"/>
    <w:rsid w:val="001A6D37"/>
    <w:rsid w:val="001B0534"/>
    <w:rsid w:val="001B1057"/>
    <w:rsid w:val="001B13B5"/>
    <w:rsid w:val="001B2D4B"/>
    <w:rsid w:val="001B5A5D"/>
    <w:rsid w:val="001B778D"/>
    <w:rsid w:val="001C0638"/>
    <w:rsid w:val="001C2D1A"/>
    <w:rsid w:val="001C43DA"/>
    <w:rsid w:val="001C5162"/>
    <w:rsid w:val="001D2295"/>
    <w:rsid w:val="001D27EF"/>
    <w:rsid w:val="001D371E"/>
    <w:rsid w:val="001D3D2F"/>
    <w:rsid w:val="001D4666"/>
    <w:rsid w:val="001D5205"/>
    <w:rsid w:val="001D5E98"/>
    <w:rsid w:val="001D6A7F"/>
    <w:rsid w:val="001D7249"/>
    <w:rsid w:val="001D77D7"/>
    <w:rsid w:val="001E1B41"/>
    <w:rsid w:val="001E4C92"/>
    <w:rsid w:val="001E52E8"/>
    <w:rsid w:val="001E6C8F"/>
    <w:rsid w:val="001E6F88"/>
    <w:rsid w:val="001E701B"/>
    <w:rsid w:val="001E70B5"/>
    <w:rsid w:val="001F0770"/>
    <w:rsid w:val="001F08A4"/>
    <w:rsid w:val="001F2FBC"/>
    <w:rsid w:val="001F5020"/>
    <w:rsid w:val="001F50FE"/>
    <w:rsid w:val="001F7D0F"/>
    <w:rsid w:val="00202B85"/>
    <w:rsid w:val="00203374"/>
    <w:rsid w:val="00203377"/>
    <w:rsid w:val="00204716"/>
    <w:rsid w:val="002056E6"/>
    <w:rsid w:val="00205880"/>
    <w:rsid w:val="002067E4"/>
    <w:rsid w:val="00210DA0"/>
    <w:rsid w:val="00211A9F"/>
    <w:rsid w:val="00212B3B"/>
    <w:rsid w:val="00213CEC"/>
    <w:rsid w:val="00214611"/>
    <w:rsid w:val="00217FE9"/>
    <w:rsid w:val="0022061C"/>
    <w:rsid w:val="00220AE7"/>
    <w:rsid w:val="00220B9B"/>
    <w:rsid w:val="00221D4C"/>
    <w:rsid w:val="002230C5"/>
    <w:rsid w:val="0022373E"/>
    <w:rsid w:val="00223797"/>
    <w:rsid w:val="0022509E"/>
    <w:rsid w:val="002255C5"/>
    <w:rsid w:val="002262F4"/>
    <w:rsid w:val="00226786"/>
    <w:rsid w:val="00227998"/>
    <w:rsid w:val="00230829"/>
    <w:rsid w:val="002313C8"/>
    <w:rsid w:val="002322A3"/>
    <w:rsid w:val="00232AB2"/>
    <w:rsid w:val="00232FF9"/>
    <w:rsid w:val="002331EC"/>
    <w:rsid w:val="00233315"/>
    <w:rsid w:val="00233627"/>
    <w:rsid w:val="00235969"/>
    <w:rsid w:val="002427C8"/>
    <w:rsid w:val="00243303"/>
    <w:rsid w:val="00243358"/>
    <w:rsid w:val="002436F4"/>
    <w:rsid w:val="00243DE8"/>
    <w:rsid w:val="00244309"/>
    <w:rsid w:val="00246A1E"/>
    <w:rsid w:val="0024764A"/>
    <w:rsid w:val="00251E13"/>
    <w:rsid w:val="002526E0"/>
    <w:rsid w:val="002528C4"/>
    <w:rsid w:val="0025340B"/>
    <w:rsid w:val="00253D54"/>
    <w:rsid w:val="00253F40"/>
    <w:rsid w:val="00256A28"/>
    <w:rsid w:val="002576A8"/>
    <w:rsid w:val="002579D1"/>
    <w:rsid w:val="00257E7D"/>
    <w:rsid w:val="0026069A"/>
    <w:rsid w:val="00260F8A"/>
    <w:rsid w:val="002615F3"/>
    <w:rsid w:val="00261D6F"/>
    <w:rsid w:val="00262A2C"/>
    <w:rsid w:val="00262A70"/>
    <w:rsid w:val="002633B0"/>
    <w:rsid w:val="00264E03"/>
    <w:rsid w:val="002650DD"/>
    <w:rsid w:val="0026575B"/>
    <w:rsid w:val="002660A7"/>
    <w:rsid w:val="00266174"/>
    <w:rsid w:val="00266933"/>
    <w:rsid w:val="002673B6"/>
    <w:rsid w:val="00267942"/>
    <w:rsid w:val="00271909"/>
    <w:rsid w:val="0027231D"/>
    <w:rsid w:val="00272981"/>
    <w:rsid w:val="00273E25"/>
    <w:rsid w:val="00274865"/>
    <w:rsid w:val="002753FB"/>
    <w:rsid w:val="00276385"/>
    <w:rsid w:val="00276399"/>
    <w:rsid w:val="002763FE"/>
    <w:rsid w:val="002772F1"/>
    <w:rsid w:val="00282540"/>
    <w:rsid w:val="00283491"/>
    <w:rsid w:val="00283642"/>
    <w:rsid w:val="0028374E"/>
    <w:rsid w:val="002843A2"/>
    <w:rsid w:val="0028454A"/>
    <w:rsid w:val="00284F4F"/>
    <w:rsid w:val="0028578B"/>
    <w:rsid w:val="00286068"/>
    <w:rsid w:val="002869F1"/>
    <w:rsid w:val="00286D28"/>
    <w:rsid w:val="0029016A"/>
    <w:rsid w:val="00290CF4"/>
    <w:rsid w:val="00293532"/>
    <w:rsid w:val="00294F9E"/>
    <w:rsid w:val="00295CF5"/>
    <w:rsid w:val="00297115"/>
    <w:rsid w:val="002A155C"/>
    <w:rsid w:val="002A1816"/>
    <w:rsid w:val="002A2086"/>
    <w:rsid w:val="002A2EA1"/>
    <w:rsid w:val="002A3961"/>
    <w:rsid w:val="002A5343"/>
    <w:rsid w:val="002B0A5D"/>
    <w:rsid w:val="002B13AE"/>
    <w:rsid w:val="002B1671"/>
    <w:rsid w:val="002B201F"/>
    <w:rsid w:val="002B2E06"/>
    <w:rsid w:val="002B3346"/>
    <w:rsid w:val="002B3B10"/>
    <w:rsid w:val="002B4500"/>
    <w:rsid w:val="002B5184"/>
    <w:rsid w:val="002B5219"/>
    <w:rsid w:val="002B5DAA"/>
    <w:rsid w:val="002C0EE3"/>
    <w:rsid w:val="002C5116"/>
    <w:rsid w:val="002C5D99"/>
    <w:rsid w:val="002D1769"/>
    <w:rsid w:val="002D2456"/>
    <w:rsid w:val="002D346B"/>
    <w:rsid w:val="002D3A7F"/>
    <w:rsid w:val="002D4E0A"/>
    <w:rsid w:val="002D553D"/>
    <w:rsid w:val="002D638C"/>
    <w:rsid w:val="002E073B"/>
    <w:rsid w:val="002E1196"/>
    <w:rsid w:val="002E16CF"/>
    <w:rsid w:val="002E30E7"/>
    <w:rsid w:val="002E3E73"/>
    <w:rsid w:val="002E5FC1"/>
    <w:rsid w:val="002E788A"/>
    <w:rsid w:val="002F080B"/>
    <w:rsid w:val="002F20E4"/>
    <w:rsid w:val="002F48A2"/>
    <w:rsid w:val="002F62F9"/>
    <w:rsid w:val="002F6413"/>
    <w:rsid w:val="002F7328"/>
    <w:rsid w:val="00300E64"/>
    <w:rsid w:val="00302D95"/>
    <w:rsid w:val="00303AEB"/>
    <w:rsid w:val="00304FE9"/>
    <w:rsid w:val="00306E01"/>
    <w:rsid w:val="00306FBB"/>
    <w:rsid w:val="00310A1D"/>
    <w:rsid w:val="00311163"/>
    <w:rsid w:val="00312534"/>
    <w:rsid w:val="003139C1"/>
    <w:rsid w:val="0031400B"/>
    <w:rsid w:val="003141C6"/>
    <w:rsid w:val="003155AD"/>
    <w:rsid w:val="00315C2F"/>
    <w:rsid w:val="003169A3"/>
    <w:rsid w:val="00321069"/>
    <w:rsid w:val="00321F7B"/>
    <w:rsid w:val="00323383"/>
    <w:rsid w:val="00323772"/>
    <w:rsid w:val="00324524"/>
    <w:rsid w:val="00325D2B"/>
    <w:rsid w:val="003263C3"/>
    <w:rsid w:val="003278BD"/>
    <w:rsid w:val="00327C57"/>
    <w:rsid w:val="00331009"/>
    <w:rsid w:val="003321C9"/>
    <w:rsid w:val="00332324"/>
    <w:rsid w:val="00333F3A"/>
    <w:rsid w:val="003343E4"/>
    <w:rsid w:val="003346E2"/>
    <w:rsid w:val="00334C1F"/>
    <w:rsid w:val="00335395"/>
    <w:rsid w:val="003357A6"/>
    <w:rsid w:val="00337150"/>
    <w:rsid w:val="00337FB7"/>
    <w:rsid w:val="00342337"/>
    <w:rsid w:val="00343F49"/>
    <w:rsid w:val="0034453B"/>
    <w:rsid w:val="003447E3"/>
    <w:rsid w:val="00345321"/>
    <w:rsid w:val="0034555D"/>
    <w:rsid w:val="00345F7E"/>
    <w:rsid w:val="00346C7F"/>
    <w:rsid w:val="00347696"/>
    <w:rsid w:val="003500E6"/>
    <w:rsid w:val="003508FC"/>
    <w:rsid w:val="00351180"/>
    <w:rsid w:val="00351642"/>
    <w:rsid w:val="00352A0C"/>
    <w:rsid w:val="00352FEB"/>
    <w:rsid w:val="003530F1"/>
    <w:rsid w:val="00354F6D"/>
    <w:rsid w:val="00356619"/>
    <w:rsid w:val="0036176D"/>
    <w:rsid w:val="003621EB"/>
    <w:rsid w:val="003630ED"/>
    <w:rsid w:val="003647A7"/>
    <w:rsid w:val="00365025"/>
    <w:rsid w:val="00365D76"/>
    <w:rsid w:val="003666D9"/>
    <w:rsid w:val="00366A7A"/>
    <w:rsid w:val="0036786E"/>
    <w:rsid w:val="00370860"/>
    <w:rsid w:val="00371F81"/>
    <w:rsid w:val="00372487"/>
    <w:rsid w:val="003742B0"/>
    <w:rsid w:val="003745E3"/>
    <w:rsid w:val="00374AB6"/>
    <w:rsid w:val="00374FFB"/>
    <w:rsid w:val="00375E15"/>
    <w:rsid w:val="00376493"/>
    <w:rsid w:val="0037709E"/>
    <w:rsid w:val="0038138D"/>
    <w:rsid w:val="00381D7D"/>
    <w:rsid w:val="00382227"/>
    <w:rsid w:val="00383F5B"/>
    <w:rsid w:val="00384383"/>
    <w:rsid w:val="0038448D"/>
    <w:rsid w:val="00384FA2"/>
    <w:rsid w:val="00385845"/>
    <w:rsid w:val="00385E67"/>
    <w:rsid w:val="003870FD"/>
    <w:rsid w:val="00387CDD"/>
    <w:rsid w:val="00390F1A"/>
    <w:rsid w:val="00391092"/>
    <w:rsid w:val="00391D6C"/>
    <w:rsid w:val="00391E7A"/>
    <w:rsid w:val="00392FC4"/>
    <w:rsid w:val="00394DD9"/>
    <w:rsid w:val="003A0382"/>
    <w:rsid w:val="003A11A0"/>
    <w:rsid w:val="003A13DB"/>
    <w:rsid w:val="003A202C"/>
    <w:rsid w:val="003A3118"/>
    <w:rsid w:val="003A32F8"/>
    <w:rsid w:val="003A362B"/>
    <w:rsid w:val="003A3690"/>
    <w:rsid w:val="003A41DA"/>
    <w:rsid w:val="003A4609"/>
    <w:rsid w:val="003A4C50"/>
    <w:rsid w:val="003A6950"/>
    <w:rsid w:val="003A6FE2"/>
    <w:rsid w:val="003A734F"/>
    <w:rsid w:val="003B06C7"/>
    <w:rsid w:val="003B432B"/>
    <w:rsid w:val="003B4540"/>
    <w:rsid w:val="003B4CC0"/>
    <w:rsid w:val="003B4D63"/>
    <w:rsid w:val="003B5A66"/>
    <w:rsid w:val="003B5C16"/>
    <w:rsid w:val="003B633A"/>
    <w:rsid w:val="003B6665"/>
    <w:rsid w:val="003B6A8A"/>
    <w:rsid w:val="003B7767"/>
    <w:rsid w:val="003C067D"/>
    <w:rsid w:val="003C1182"/>
    <w:rsid w:val="003C123B"/>
    <w:rsid w:val="003C2412"/>
    <w:rsid w:val="003C3945"/>
    <w:rsid w:val="003C4E88"/>
    <w:rsid w:val="003C568C"/>
    <w:rsid w:val="003C5A54"/>
    <w:rsid w:val="003C5B50"/>
    <w:rsid w:val="003C6ADD"/>
    <w:rsid w:val="003C7B76"/>
    <w:rsid w:val="003D0252"/>
    <w:rsid w:val="003D1AC3"/>
    <w:rsid w:val="003D2D8C"/>
    <w:rsid w:val="003D3009"/>
    <w:rsid w:val="003D6F2A"/>
    <w:rsid w:val="003D7D36"/>
    <w:rsid w:val="003E0B22"/>
    <w:rsid w:val="003E122F"/>
    <w:rsid w:val="003E219D"/>
    <w:rsid w:val="003E2CC9"/>
    <w:rsid w:val="003E3290"/>
    <w:rsid w:val="003E513A"/>
    <w:rsid w:val="003E55C8"/>
    <w:rsid w:val="003E5E01"/>
    <w:rsid w:val="003F01DA"/>
    <w:rsid w:val="003F07AE"/>
    <w:rsid w:val="003F166E"/>
    <w:rsid w:val="003F2198"/>
    <w:rsid w:val="003F34D6"/>
    <w:rsid w:val="003F3843"/>
    <w:rsid w:val="003F50D0"/>
    <w:rsid w:val="003F5340"/>
    <w:rsid w:val="003F538C"/>
    <w:rsid w:val="003F769A"/>
    <w:rsid w:val="003F76D9"/>
    <w:rsid w:val="003F7703"/>
    <w:rsid w:val="003F7D23"/>
    <w:rsid w:val="0040066F"/>
    <w:rsid w:val="00401189"/>
    <w:rsid w:val="00401435"/>
    <w:rsid w:val="00404B87"/>
    <w:rsid w:val="00404FB0"/>
    <w:rsid w:val="00407271"/>
    <w:rsid w:val="00407815"/>
    <w:rsid w:val="0041021E"/>
    <w:rsid w:val="00411B9B"/>
    <w:rsid w:val="0041372E"/>
    <w:rsid w:val="00413C75"/>
    <w:rsid w:val="00414536"/>
    <w:rsid w:val="00415374"/>
    <w:rsid w:val="0041583D"/>
    <w:rsid w:val="0041654A"/>
    <w:rsid w:val="004179C3"/>
    <w:rsid w:val="00421A97"/>
    <w:rsid w:val="00421E7D"/>
    <w:rsid w:val="0042466E"/>
    <w:rsid w:val="00424712"/>
    <w:rsid w:val="00425902"/>
    <w:rsid w:val="004268EA"/>
    <w:rsid w:val="004276D4"/>
    <w:rsid w:val="00430B72"/>
    <w:rsid w:val="00430F50"/>
    <w:rsid w:val="00431404"/>
    <w:rsid w:val="00431D06"/>
    <w:rsid w:val="00431F38"/>
    <w:rsid w:val="0043327C"/>
    <w:rsid w:val="0043335A"/>
    <w:rsid w:val="0043352F"/>
    <w:rsid w:val="00433A7C"/>
    <w:rsid w:val="004349C3"/>
    <w:rsid w:val="00435241"/>
    <w:rsid w:val="00435A2B"/>
    <w:rsid w:val="00436541"/>
    <w:rsid w:val="0043724D"/>
    <w:rsid w:val="0044101A"/>
    <w:rsid w:val="00443648"/>
    <w:rsid w:val="00443BAD"/>
    <w:rsid w:val="00444402"/>
    <w:rsid w:val="004459C3"/>
    <w:rsid w:val="0044692C"/>
    <w:rsid w:val="004515B7"/>
    <w:rsid w:val="00454464"/>
    <w:rsid w:val="00456A9E"/>
    <w:rsid w:val="004579DB"/>
    <w:rsid w:val="00457AE8"/>
    <w:rsid w:val="00457B92"/>
    <w:rsid w:val="00457F8F"/>
    <w:rsid w:val="0046133B"/>
    <w:rsid w:val="00461617"/>
    <w:rsid w:val="0046259A"/>
    <w:rsid w:val="004631DD"/>
    <w:rsid w:val="0046321E"/>
    <w:rsid w:val="00464C4E"/>
    <w:rsid w:val="004651D6"/>
    <w:rsid w:val="00465670"/>
    <w:rsid w:val="00466A00"/>
    <w:rsid w:val="00467463"/>
    <w:rsid w:val="00472417"/>
    <w:rsid w:val="004735A2"/>
    <w:rsid w:val="00474DD7"/>
    <w:rsid w:val="00474FEC"/>
    <w:rsid w:val="00476399"/>
    <w:rsid w:val="0047784C"/>
    <w:rsid w:val="00477E6A"/>
    <w:rsid w:val="0048129F"/>
    <w:rsid w:val="004827D5"/>
    <w:rsid w:val="00483EB6"/>
    <w:rsid w:val="00484B17"/>
    <w:rsid w:val="00484E19"/>
    <w:rsid w:val="0048555A"/>
    <w:rsid w:val="00485C6C"/>
    <w:rsid w:val="0048778F"/>
    <w:rsid w:val="00487E4A"/>
    <w:rsid w:val="00490651"/>
    <w:rsid w:val="00490AF6"/>
    <w:rsid w:val="00490C76"/>
    <w:rsid w:val="00490CCB"/>
    <w:rsid w:val="00491121"/>
    <w:rsid w:val="0049148B"/>
    <w:rsid w:val="0049237D"/>
    <w:rsid w:val="00492A15"/>
    <w:rsid w:val="004949FA"/>
    <w:rsid w:val="00494D0E"/>
    <w:rsid w:val="00495024"/>
    <w:rsid w:val="00496B33"/>
    <w:rsid w:val="00496D01"/>
    <w:rsid w:val="004A07B4"/>
    <w:rsid w:val="004A1276"/>
    <w:rsid w:val="004A1B14"/>
    <w:rsid w:val="004A1C65"/>
    <w:rsid w:val="004A1F74"/>
    <w:rsid w:val="004A207D"/>
    <w:rsid w:val="004A4AB0"/>
    <w:rsid w:val="004A4C66"/>
    <w:rsid w:val="004A5A93"/>
    <w:rsid w:val="004A737F"/>
    <w:rsid w:val="004A7CFD"/>
    <w:rsid w:val="004B00E4"/>
    <w:rsid w:val="004B0399"/>
    <w:rsid w:val="004B19EB"/>
    <w:rsid w:val="004B21C5"/>
    <w:rsid w:val="004B3BF1"/>
    <w:rsid w:val="004B436D"/>
    <w:rsid w:val="004B5574"/>
    <w:rsid w:val="004B5666"/>
    <w:rsid w:val="004B5E78"/>
    <w:rsid w:val="004B5F4B"/>
    <w:rsid w:val="004B6857"/>
    <w:rsid w:val="004B6AFC"/>
    <w:rsid w:val="004B7B9E"/>
    <w:rsid w:val="004C04F5"/>
    <w:rsid w:val="004C2C29"/>
    <w:rsid w:val="004C394A"/>
    <w:rsid w:val="004C3E43"/>
    <w:rsid w:val="004C5248"/>
    <w:rsid w:val="004C54C4"/>
    <w:rsid w:val="004C5504"/>
    <w:rsid w:val="004C7DE8"/>
    <w:rsid w:val="004D013E"/>
    <w:rsid w:val="004D0244"/>
    <w:rsid w:val="004D27C3"/>
    <w:rsid w:val="004D314C"/>
    <w:rsid w:val="004D32E3"/>
    <w:rsid w:val="004D34D1"/>
    <w:rsid w:val="004D5060"/>
    <w:rsid w:val="004D6633"/>
    <w:rsid w:val="004D687A"/>
    <w:rsid w:val="004D6FD7"/>
    <w:rsid w:val="004E1747"/>
    <w:rsid w:val="004E308A"/>
    <w:rsid w:val="004E3667"/>
    <w:rsid w:val="004E377E"/>
    <w:rsid w:val="004E3A60"/>
    <w:rsid w:val="004E42BD"/>
    <w:rsid w:val="004E4F01"/>
    <w:rsid w:val="004E4FBF"/>
    <w:rsid w:val="004E6299"/>
    <w:rsid w:val="004E7F2E"/>
    <w:rsid w:val="004E7FC0"/>
    <w:rsid w:val="004F0844"/>
    <w:rsid w:val="004F0BDD"/>
    <w:rsid w:val="004F1EB7"/>
    <w:rsid w:val="004F3269"/>
    <w:rsid w:val="004F35CC"/>
    <w:rsid w:val="004F3AC3"/>
    <w:rsid w:val="004F473B"/>
    <w:rsid w:val="004F4AEF"/>
    <w:rsid w:val="004F5616"/>
    <w:rsid w:val="004F5AB2"/>
    <w:rsid w:val="004F627A"/>
    <w:rsid w:val="004F6A76"/>
    <w:rsid w:val="004F6B49"/>
    <w:rsid w:val="00500164"/>
    <w:rsid w:val="00500E50"/>
    <w:rsid w:val="00501507"/>
    <w:rsid w:val="005017D3"/>
    <w:rsid w:val="00502266"/>
    <w:rsid w:val="00502AC9"/>
    <w:rsid w:val="00502DAB"/>
    <w:rsid w:val="00502DD1"/>
    <w:rsid w:val="005035E3"/>
    <w:rsid w:val="00504CE9"/>
    <w:rsid w:val="00505ADE"/>
    <w:rsid w:val="005069AD"/>
    <w:rsid w:val="00506F58"/>
    <w:rsid w:val="005074CC"/>
    <w:rsid w:val="00507FB6"/>
    <w:rsid w:val="005102E5"/>
    <w:rsid w:val="005104DF"/>
    <w:rsid w:val="00510FC7"/>
    <w:rsid w:val="00511C09"/>
    <w:rsid w:val="0051298B"/>
    <w:rsid w:val="0051380F"/>
    <w:rsid w:val="00513EDD"/>
    <w:rsid w:val="00514995"/>
    <w:rsid w:val="00514A59"/>
    <w:rsid w:val="00514F3D"/>
    <w:rsid w:val="00515954"/>
    <w:rsid w:val="0051694A"/>
    <w:rsid w:val="0051710D"/>
    <w:rsid w:val="00517B92"/>
    <w:rsid w:val="00517D8C"/>
    <w:rsid w:val="00517E89"/>
    <w:rsid w:val="00520B85"/>
    <w:rsid w:val="00520FF9"/>
    <w:rsid w:val="00521C27"/>
    <w:rsid w:val="0052277B"/>
    <w:rsid w:val="00522A68"/>
    <w:rsid w:val="005238CF"/>
    <w:rsid w:val="005239EF"/>
    <w:rsid w:val="00526596"/>
    <w:rsid w:val="005302B5"/>
    <w:rsid w:val="00531897"/>
    <w:rsid w:val="00531EDF"/>
    <w:rsid w:val="00532A10"/>
    <w:rsid w:val="0053332F"/>
    <w:rsid w:val="00533BE2"/>
    <w:rsid w:val="0053416D"/>
    <w:rsid w:val="00535119"/>
    <w:rsid w:val="00536183"/>
    <w:rsid w:val="00537E81"/>
    <w:rsid w:val="005402D4"/>
    <w:rsid w:val="005406BE"/>
    <w:rsid w:val="005422D4"/>
    <w:rsid w:val="00543692"/>
    <w:rsid w:val="00543948"/>
    <w:rsid w:val="00544021"/>
    <w:rsid w:val="005445D7"/>
    <w:rsid w:val="00546757"/>
    <w:rsid w:val="005467E7"/>
    <w:rsid w:val="0054746D"/>
    <w:rsid w:val="005474B9"/>
    <w:rsid w:val="00547A0A"/>
    <w:rsid w:val="00547FB3"/>
    <w:rsid w:val="00552DEC"/>
    <w:rsid w:val="00553DA7"/>
    <w:rsid w:val="0055478B"/>
    <w:rsid w:val="00555E1B"/>
    <w:rsid w:val="00557026"/>
    <w:rsid w:val="00561DFD"/>
    <w:rsid w:val="00562F53"/>
    <w:rsid w:val="00563B9E"/>
    <w:rsid w:val="00565472"/>
    <w:rsid w:val="005663A0"/>
    <w:rsid w:val="00567091"/>
    <w:rsid w:val="00567F1C"/>
    <w:rsid w:val="00573A88"/>
    <w:rsid w:val="00574201"/>
    <w:rsid w:val="005755BD"/>
    <w:rsid w:val="00576089"/>
    <w:rsid w:val="005768C5"/>
    <w:rsid w:val="00576B72"/>
    <w:rsid w:val="005773C1"/>
    <w:rsid w:val="005801E9"/>
    <w:rsid w:val="00580DFC"/>
    <w:rsid w:val="00581035"/>
    <w:rsid w:val="00581AB5"/>
    <w:rsid w:val="00581B8D"/>
    <w:rsid w:val="00582DE9"/>
    <w:rsid w:val="00582F56"/>
    <w:rsid w:val="00583D11"/>
    <w:rsid w:val="00583E9A"/>
    <w:rsid w:val="005853C4"/>
    <w:rsid w:val="00585B00"/>
    <w:rsid w:val="005862F8"/>
    <w:rsid w:val="0058786A"/>
    <w:rsid w:val="00587BCF"/>
    <w:rsid w:val="00587C54"/>
    <w:rsid w:val="005904CB"/>
    <w:rsid w:val="00590989"/>
    <w:rsid w:val="00591473"/>
    <w:rsid w:val="00593EE2"/>
    <w:rsid w:val="00594084"/>
    <w:rsid w:val="00597FF6"/>
    <w:rsid w:val="005A05B0"/>
    <w:rsid w:val="005A0600"/>
    <w:rsid w:val="005A0F04"/>
    <w:rsid w:val="005A3DCB"/>
    <w:rsid w:val="005A442F"/>
    <w:rsid w:val="005A46E3"/>
    <w:rsid w:val="005A562A"/>
    <w:rsid w:val="005A6551"/>
    <w:rsid w:val="005A74B2"/>
    <w:rsid w:val="005B0420"/>
    <w:rsid w:val="005B111D"/>
    <w:rsid w:val="005B2D68"/>
    <w:rsid w:val="005B3F85"/>
    <w:rsid w:val="005B5C42"/>
    <w:rsid w:val="005B678D"/>
    <w:rsid w:val="005C0027"/>
    <w:rsid w:val="005C0157"/>
    <w:rsid w:val="005C2E0C"/>
    <w:rsid w:val="005C4359"/>
    <w:rsid w:val="005C4865"/>
    <w:rsid w:val="005C5378"/>
    <w:rsid w:val="005C53AC"/>
    <w:rsid w:val="005C542C"/>
    <w:rsid w:val="005D1071"/>
    <w:rsid w:val="005D1958"/>
    <w:rsid w:val="005D2938"/>
    <w:rsid w:val="005D2E95"/>
    <w:rsid w:val="005D3F05"/>
    <w:rsid w:val="005D4DA8"/>
    <w:rsid w:val="005D6EA0"/>
    <w:rsid w:val="005D6EF0"/>
    <w:rsid w:val="005D778D"/>
    <w:rsid w:val="005D7BDC"/>
    <w:rsid w:val="005E213B"/>
    <w:rsid w:val="005E3CE8"/>
    <w:rsid w:val="005E4194"/>
    <w:rsid w:val="005E473D"/>
    <w:rsid w:val="005E4834"/>
    <w:rsid w:val="005E7A97"/>
    <w:rsid w:val="005F0211"/>
    <w:rsid w:val="005F0440"/>
    <w:rsid w:val="005F23AC"/>
    <w:rsid w:val="005F39FD"/>
    <w:rsid w:val="005F420B"/>
    <w:rsid w:val="005F57C6"/>
    <w:rsid w:val="005F58C0"/>
    <w:rsid w:val="005F635D"/>
    <w:rsid w:val="006005B9"/>
    <w:rsid w:val="00600E6E"/>
    <w:rsid w:val="006029B2"/>
    <w:rsid w:val="00602BF5"/>
    <w:rsid w:val="00602C65"/>
    <w:rsid w:val="00603447"/>
    <w:rsid w:val="0060460A"/>
    <w:rsid w:val="00605866"/>
    <w:rsid w:val="00606D24"/>
    <w:rsid w:val="00607191"/>
    <w:rsid w:val="00607CD0"/>
    <w:rsid w:val="006108E5"/>
    <w:rsid w:val="00610B91"/>
    <w:rsid w:val="006111BE"/>
    <w:rsid w:val="006112A1"/>
    <w:rsid w:val="006124ED"/>
    <w:rsid w:val="006130DB"/>
    <w:rsid w:val="00613281"/>
    <w:rsid w:val="00613B72"/>
    <w:rsid w:val="00614BCC"/>
    <w:rsid w:val="00615890"/>
    <w:rsid w:val="00615F69"/>
    <w:rsid w:val="00616F24"/>
    <w:rsid w:val="00620594"/>
    <w:rsid w:val="006228B6"/>
    <w:rsid w:val="00623605"/>
    <w:rsid w:val="0062393D"/>
    <w:rsid w:val="0062425A"/>
    <w:rsid w:val="0062443C"/>
    <w:rsid w:val="00626AA2"/>
    <w:rsid w:val="00631479"/>
    <w:rsid w:val="00631A94"/>
    <w:rsid w:val="00631BEA"/>
    <w:rsid w:val="00631C7C"/>
    <w:rsid w:val="006332EF"/>
    <w:rsid w:val="006335EB"/>
    <w:rsid w:val="00633746"/>
    <w:rsid w:val="00633EB6"/>
    <w:rsid w:val="00634F1E"/>
    <w:rsid w:val="00635869"/>
    <w:rsid w:val="00635DFF"/>
    <w:rsid w:val="00635F75"/>
    <w:rsid w:val="00637883"/>
    <w:rsid w:val="00637FEC"/>
    <w:rsid w:val="006408D8"/>
    <w:rsid w:val="00641E56"/>
    <w:rsid w:val="006427D1"/>
    <w:rsid w:val="0064304E"/>
    <w:rsid w:val="00643375"/>
    <w:rsid w:val="006445AA"/>
    <w:rsid w:val="0064529B"/>
    <w:rsid w:val="006458D0"/>
    <w:rsid w:val="00645DC9"/>
    <w:rsid w:val="00646015"/>
    <w:rsid w:val="00646FF2"/>
    <w:rsid w:val="0064752E"/>
    <w:rsid w:val="00650C91"/>
    <w:rsid w:val="00652073"/>
    <w:rsid w:val="00652ABC"/>
    <w:rsid w:val="00652C9C"/>
    <w:rsid w:val="00652FEB"/>
    <w:rsid w:val="006600E4"/>
    <w:rsid w:val="006609D5"/>
    <w:rsid w:val="006616E5"/>
    <w:rsid w:val="00662A6F"/>
    <w:rsid w:val="00662A80"/>
    <w:rsid w:val="00663ADE"/>
    <w:rsid w:val="00663D66"/>
    <w:rsid w:val="006648F5"/>
    <w:rsid w:val="006654F5"/>
    <w:rsid w:val="006655F6"/>
    <w:rsid w:val="006656F5"/>
    <w:rsid w:val="006663D6"/>
    <w:rsid w:val="00666E16"/>
    <w:rsid w:val="0067010A"/>
    <w:rsid w:val="00671742"/>
    <w:rsid w:val="0067197E"/>
    <w:rsid w:val="00672241"/>
    <w:rsid w:val="00675AC5"/>
    <w:rsid w:val="0067648E"/>
    <w:rsid w:val="006766C0"/>
    <w:rsid w:val="00677BDE"/>
    <w:rsid w:val="00680614"/>
    <w:rsid w:val="00680A74"/>
    <w:rsid w:val="00680A9B"/>
    <w:rsid w:val="00682AF6"/>
    <w:rsid w:val="0068304F"/>
    <w:rsid w:val="00683A79"/>
    <w:rsid w:val="00684DE3"/>
    <w:rsid w:val="00684EC6"/>
    <w:rsid w:val="006867FB"/>
    <w:rsid w:val="006870BD"/>
    <w:rsid w:val="0069036A"/>
    <w:rsid w:val="0069052C"/>
    <w:rsid w:val="006925ED"/>
    <w:rsid w:val="00693A61"/>
    <w:rsid w:val="00693F33"/>
    <w:rsid w:val="00694B35"/>
    <w:rsid w:val="00696152"/>
    <w:rsid w:val="006A05F6"/>
    <w:rsid w:val="006A0E1A"/>
    <w:rsid w:val="006A2037"/>
    <w:rsid w:val="006A2D70"/>
    <w:rsid w:val="006A4152"/>
    <w:rsid w:val="006A43F9"/>
    <w:rsid w:val="006A4C59"/>
    <w:rsid w:val="006A5AEA"/>
    <w:rsid w:val="006B0AD1"/>
    <w:rsid w:val="006B3408"/>
    <w:rsid w:val="006B4E16"/>
    <w:rsid w:val="006B53A3"/>
    <w:rsid w:val="006B5505"/>
    <w:rsid w:val="006B5F43"/>
    <w:rsid w:val="006B61EA"/>
    <w:rsid w:val="006B621E"/>
    <w:rsid w:val="006B7C04"/>
    <w:rsid w:val="006C0960"/>
    <w:rsid w:val="006C1380"/>
    <w:rsid w:val="006C2DAA"/>
    <w:rsid w:val="006C414E"/>
    <w:rsid w:val="006C46F6"/>
    <w:rsid w:val="006C6400"/>
    <w:rsid w:val="006C6B52"/>
    <w:rsid w:val="006C6D14"/>
    <w:rsid w:val="006D0956"/>
    <w:rsid w:val="006D15C0"/>
    <w:rsid w:val="006D2621"/>
    <w:rsid w:val="006D2B9E"/>
    <w:rsid w:val="006D36CA"/>
    <w:rsid w:val="006D3AC1"/>
    <w:rsid w:val="006D3B0F"/>
    <w:rsid w:val="006D689B"/>
    <w:rsid w:val="006E22AD"/>
    <w:rsid w:val="006E310D"/>
    <w:rsid w:val="006E4113"/>
    <w:rsid w:val="006E56CE"/>
    <w:rsid w:val="006E64AE"/>
    <w:rsid w:val="006F3960"/>
    <w:rsid w:val="006F4948"/>
    <w:rsid w:val="006F737E"/>
    <w:rsid w:val="006F7EC8"/>
    <w:rsid w:val="0070039B"/>
    <w:rsid w:val="00700BCE"/>
    <w:rsid w:val="007018C5"/>
    <w:rsid w:val="00701A66"/>
    <w:rsid w:val="00701BD7"/>
    <w:rsid w:val="00701FD1"/>
    <w:rsid w:val="007024AF"/>
    <w:rsid w:val="007027B3"/>
    <w:rsid w:val="007031C2"/>
    <w:rsid w:val="00704F23"/>
    <w:rsid w:val="007050AD"/>
    <w:rsid w:val="00706297"/>
    <w:rsid w:val="00706C67"/>
    <w:rsid w:val="00706D84"/>
    <w:rsid w:val="00710F7B"/>
    <w:rsid w:val="00711D6F"/>
    <w:rsid w:val="00712632"/>
    <w:rsid w:val="00713518"/>
    <w:rsid w:val="007142C7"/>
    <w:rsid w:val="007153C4"/>
    <w:rsid w:val="00716115"/>
    <w:rsid w:val="00716339"/>
    <w:rsid w:val="007171AA"/>
    <w:rsid w:val="0071727D"/>
    <w:rsid w:val="00717A92"/>
    <w:rsid w:val="0072086E"/>
    <w:rsid w:val="007208E8"/>
    <w:rsid w:val="00720961"/>
    <w:rsid w:val="00720AD8"/>
    <w:rsid w:val="00720FCF"/>
    <w:rsid w:val="00722037"/>
    <w:rsid w:val="00722E7F"/>
    <w:rsid w:val="00723117"/>
    <w:rsid w:val="00723469"/>
    <w:rsid w:val="0072363C"/>
    <w:rsid w:val="007258B8"/>
    <w:rsid w:val="00725A9D"/>
    <w:rsid w:val="00726E1E"/>
    <w:rsid w:val="00727979"/>
    <w:rsid w:val="00730361"/>
    <w:rsid w:val="00730914"/>
    <w:rsid w:val="0073148A"/>
    <w:rsid w:val="007315B6"/>
    <w:rsid w:val="00731F84"/>
    <w:rsid w:val="00731FED"/>
    <w:rsid w:val="0073242E"/>
    <w:rsid w:val="00734DDF"/>
    <w:rsid w:val="007351EB"/>
    <w:rsid w:val="007354F7"/>
    <w:rsid w:val="007356F9"/>
    <w:rsid w:val="0073657F"/>
    <w:rsid w:val="007367C5"/>
    <w:rsid w:val="007372B1"/>
    <w:rsid w:val="00737D48"/>
    <w:rsid w:val="007413C9"/>
    <w:rsid w:val="00741926"/>
    <w:rsid w:val="007423A7"/>
    <w:rsid w:val="00743B8E"/>
    <w:rsid w:val="007442A2"/>
    <w:rsid w:val="007449DF"/>
    <w:rsid w:val="0074633B"/>
    <w:rsid w:val="00746CF0"/>
    <w:rsid w:val="00746DCC"/>
    <w:rsid w:val="00750BA0"/>
    <w:rsid w:val="00751970"/>
    <w:rsid w:val="0075283C"/>
    <w:rsid w:val="00753905"/>
    <w:rsid w:val="00757360"/>
    <w:rsid w:val="00757E87"/>
    <w:rsid w:val="00760331"/>
    <w:rsid w:val="00760471"/>
    <w:rsid w:val="00760910"/>
    <w:rsid w:val="00760E71"/>
    <w:rsid w:val="007610BE"/>
    <w:rsid w:val="00761235"/>
    <w:rsid w:val="00762E37"/>
    <w:rsid w:val="007637D3"/>
    <w:rsid w:val="00765629"/>
    <w:rsid w:val="0076747F"/>
    <w:rsid w:val="007701D0"/>
    <w:rsid w:val="00770A90"/>
    <w:rsid w:val="0077225B"/>
    <w:rsid w:val="007727F7"/>
    <w:rsid w:val="0077423D"/>
    <w:rsid w:val="00775816"/>
    <w:rsid w:val="00775A02"/>
    <w:rsid w:val="00775F3E"/>
    <w:rsid w:val="00777417"/>
    <w:rsid w:val="007776B7"/>
    <w:rsid w:val="00777C81"/>
    <w:rsid w:val="00781B33"/>
    <w:rsid w:val="00782150"/>
    <w:rsid w:val="0078498F"/>
    <w:rsid w:val="00785587"/>
    <w:rsid w:val="0078560C"/>
    <w:rsid w:val="0078563F"/>
    <w:rsid w:val="00791881"/>
    <w:rsid w:val="0079236D"/>
    <w:rsid w:val="0079381F"/>
    <w:rsid w:val="00793F47"/>
    <w:rsid w:val="00795128"/>
    <w:rsid w:val="00795CAA"/>
    <w:rsid w:val="0079634F"/>
    <w:rsid w:val="007965A9"/>
    <w:rsid w:val="00797F82"/>
    <w:rsid w:val="007A074C"/>
    <w:rsid w:val="007A0E49"/>
    <w:rsid w:val="007A144F"/>
    <w:rsid w:val="007A1B29"/>
    <w:rsid w:val="007A314D"/>
    <w:rsid w:val="007A32BB"/>
    <w:rsid w:val="007A3629"/>
    <w:rsid w:val="007A4F9A"/>
    <w:rsid w:val="007A6E7D"/>
    <w:rsid w:val="007A7155"/>
    <w:rsid w:val="007B3219"/>
    <w:rsid w:val="007B3CC7"/>
    <w:rsid w:val="007B4702"/>
    <w:rsid w:val="007B4B10"/>
    <w:rsid w:val="007B4DFE"/>
    <w:rsid w:val="007B5119"/>
    <w:rsid w:val="007B5305"/>
    <w:rsid w:val="007B6DA4"/>
    <w:rsid w:val="007B7252"/>
    <w:rsid w:val="007B73FE"/>
    <w:rsid w:val="007B7756"/>
    <w:rsid w:val="007B7939"/>
    <w:rsid w:val="007C0145"/>
    <w:rsid w:val="007C178B"/>
    <w:rsid w:val="007C373F"/>
    <w:rsid w:val="007C4471"/>
    <w:rsid w:val="007C5092"/>
    <w:rsid w:val="007C52AF"/>
    <w:rsid w:val="007C66F6"/>
    <w:rsid w:val="007C6CF6"/>
    <w:rsid w:val="007C7830"/>
    <w:rsid w:val="007C7EAF"/>
    <w:rsid w:val="007D04F9"/>
    <w:rsid w:val="007D0DF2"/>
    <w:rsid w:val="007D1BC5"/>
    <w:rsid w:val="007D2B74"/>
    <w:rsid w:val="007D6A5E"/>
    <w:rsid w:val="007D6AFD"/>
    <w:rsid w:val="007D7838"/>
    <w:rsid w:val="007E10A5"/>
    <w:rsid w:val="007E237F"/>
    <w:rsid w:val="007E3675"/>
    <w:rsid w:val="007E53D0"/>
    <w:rsid w:val="007E57F6"/>
    <w:rsid w:val="007E6F2E"/>
    <w:rsid w:val="007E7E07"/>
    <w:rsid w:val="007F11EE"/>
    <w:rsid w:val="007F292D"/>
    <w:rsid w:val="007F500E"/>
    <w:rsid w:val="007F5699"/>
    <w:rsid w:val="007F571D"/>
    <w:rsid w:val="007F62F1"/>
    <w:rsid w:val="007F735E"/>
    <w:rsid w:val="00801556"/>
    <w:rsid w:val="008018CE"/>
    <w:rsid w:val="00802AB8"/>
    <w:rsid w:val="008038F0"/>
    <w:rsid w:val="00803B6A"/>
    <w:rsid w:val="00804F7A"/>
    <w:rsid w:val="008050EF"/>
    <w:rsid w:val="00805ACB"/>
    <w:rsid w:val="008062E6"/>
    <w:rsid w:val="0080641F"/>
    <w:rsid w:val="008104F7"/>
    <w:rsid w:val="00811746"/>
    <w:rsid w:val="00811E26"/>
    <w:rsid w:val="00814849"/>
    <w:rsid w:val="00817F3E"/>
    <w:rsid w:val="00820C60"/>
    <w:rsid w:val="00820FD2"/>
    <w:rsid w:val="008215C4"/>
    <w:rsid w:val="00822041"/>
    <w:rsid w:val="0082250E"/>
    <w:rsid w:val="008254A7"/>
    <w:rsid w:val="00825786"/>
    <w:rsid w:val="008257C6"/>
    <w:rsid w:val="00826822"/>
    <w:rsid w:val="00830D52"/>
    <w:rsid w:val="008310CD"/>
    <w:rsid w:val="00832045"/>
    <w:rsid w:val="00833416"/>
    <w:rsid w:val="0083379A"/>
    <w:rsid w:val="008360B7"/>
    <w:rsid w:val="00836927"/>
    <w:rsid w:val="00837F32"/>
    <w:rsid w:val="008443D6"/>
    <w:rsid w:val="0084489A"/>
    <w:rsid w:val="00844C12"/>
    <w:rsid w:val="00844FC3"/>
    <w:rsid w:val="008453DE"/>
    <w:rsid w:val="00845B70"/>
    <w:rsid w:val="008503A1"/>
    <w:rsid w:val="00852D15"/>
    <w:rsid w:val="00854CDF"/>
    <w:rsid w:val="008553AD"/>
    <w:rsid w:val="00856CAD"/>
    <w:rsid w:val="008576C7"/>
    <w:rsid w:val="0086111D"/>
    <w:rsid w:val="00861D0E"/>
    <w:rsid w:val="00861FBB"/>
    <w:rsid w:val="00862179"/>
    <w:rsid w:val="00862247"/>
    <w:rsid w:val="0086370E"/>
    <w:rsid w:val="00864C10"/>
    <w:rsid w:val="00864C50"/>
    <w:rsid w:val="00866DEE"/>
    <w:rsid w:val="00870AC1"/>
    <w:rsid w:val="00871288"/>
    <w:rsid w:val="00871F8B"/>
    <w:rsid w:val="00872655"/>
    <w:rsid w:val="00872F3E"/>
    <w:rsid w:val="00873A0D"/>
    <w:rsid w:val="00873F99"/>
    <w:rsid w:val="0087548E"/>
    <w:rsid w:val="00875732"/>
    <w:rsid w:val="008766CC"/>
    <w:rsid w:val="00877D9C"/>
    <w:rsid w:val="00880459"/>
    <w:rsid w:val="008810D9"/>
    <w:rsid w:val="00881E03"/>
    <w:rsid w:val="00884BAD"/>
    <w:rsid w:val="00887630"/>
    <w:rsid w:val="00887BE6"/>
    <w:rsid w:val="0089048E"/>
    <w:rsid w:val="00891051"/>
    <w:rsid w:val="00891BCC"/>
    <w:rsid w:val="00891C9F"/>
    <w:rsid w:val="0089269F"/>
    <w:rsid w:val="00892E66"/>
    <w:rsid w:val="0089426E"/>
    <w:rsid w:val="0089435B"/>
    <w:rsid w:val="00895759"/>
    <w:rsid w:val="00895DD6"/>
    <w:rsid w:val="008A13DE"/>
    <w:rsid w:val="008A1857"/>
    <w:rsid w:val="008A19D2"/>
    <w:rsid w:val="008A1D2A"/>
    <w:rsid w:val="008A2791"/>
    <w:rsid w:val="008A39A0"/>
    <w:rsid w:val="008A3EC8"/>
    <w:rsid w:val="008A4E59"/>
    <w:rsid w:val="008A4E6D"/>
    <w:rsid w:val="008A64DE"/>
    <w:rsid w:val="008A73AA"/>
    <w:rsid w:val="008A77D0"/>
    <w:rsid w:val="008A7AA7"/>
    <w:rsid w:val="008B0276"/>
    <w:rsid w:val="008B3D89"/>
    <w:rsid w:val="008B4769"/>
    <w:rsid w:val="008B59EE"/>
    <w:rsid w:val="008B5C56"/>
    <w:rsid w:val="008B62DF"/>
    <w:rsid w:val="008B7744"/>
    <w:rsid w:val="008C0BAC"/>
    <w:rsid w:val="008C16BD"/>
    <w:rsid w:val="008C2542"/>
    <w:rsid w:val="008C26C8"/>
    <w:rsid w:val="008C2FE5"/>
    <w:rsid w:val="008C401B"/>
    <w:rsid w:val="008C533A"/>
    <w:rsid w:val="008C611C"/>
    <w:rsid w:val="008C6E8C"/>
    <w:rsid w:val="008C7547"/>
    <w:rsid w:val="008D0C1F"/>
    <w:rsid w:val="008D1C26"/>
    <w:rsid w:val="008D1E4A"/>
    <w:rsid w:val="008D2108"/>
    <w:rsid w:val="008D3BEA"/>
    <w:rsid w:val="008D5370"/>
    <w:rsid w:val="008D5FD0"/>
    <w:rsid w:val="008E1ECE"/>
    <w:rsid w:val="008E270D"/>
    <w:rsid w:val="008E27CD"/>
    <w:rsid w:val="008E2902"/>
    <w:rsid w:val="008E2CD8"/>
    <w:rsid w:val="008E3335"/>
    <w:rsid w:val="008E3B9F"/>
    <w:rsid w:val="008E3C5E"/>
    <w:rsid w:val="008E55AA"/>
    <w:rsid w:val="008E76E5"/>
    <w:rsid w:val="008F0017"/>
    <w:rsid w:val="008F051E"/>
    <w:rsid w:val="008F0AFE"/>
    <w:rsid w:val="008F2163"/>
    <w:rsid w:val="008F4272"/>
    <w:rsid w:val="008F4C44"/>
    <w:rsid w:val="008F4D23"/>
    <w:rsid w:val="008F4DB3"/>
    <w:rsid w:val="008F7840"/>
    <w:rsid w:val="008F7A4A"/>
    <w:rsid w:val="009004A0"/>
    <w:rsid w:val="0090072F"/>
    <w:rsid w:val="00900B3C"/>
    <w:rsid w:val="0090152C"/>
    <w:rsid w:val="0090330D"/>
    <w:rsid w:val="009054BE"/>
    <w:rsid w:val="00905C92"/>
    <w:rsid w:val="00906F13"/>
    <w:rsid w:val="00907CD8"/>
    <w:rsid w:val="00910086"/>
    <w:rsid w:val="00911961"/>
    <w:rsid w:val="00911D54"/>
    <w:rsid w:val="00912956"/>
    <w:rsid w:val="00912BF5"/>
    <w:rsid w:val="0091441F"/>
    <w:rsid w:val="00914566"/>
    <w:rsid w:val="00914AE2"/>
    <w:rsid w:val="00915CDE"/>
    <w:rsid w:val="0092010D"/>
    <w:rsid w:val="00920AB3"/>
    <w:rsid w:val="0092187F"/>
    <w:rsid w:val="009222F0"/>
    <w:rsid w:val="0092246D"/>
    <w:rsid w:val="00924D43"/>
    <w:rsid w:val="00926542"/>
    <w:rsid w:val="009271EA"/>
    <w:rsid w:val="0092733E"/>
    <w:rsid w:val="009277EF"/>
    <w:rsid w:val="0092789D"/>
    <w:rsid w:val="00927C7E"/>
    <w:rsid w:val="00930588"/>
    <w:rsid w:val="00930E80"/>
    <w:rsid w:val="00931534"/>
    <w:rsid w:val="00931E44"/>
    <w:rsid w:val="0093369E"/>
    <w:rsid w:val="00933E02"/>
    <w:rsid w:val="009345DD"/>
    <w:rsid w:val="00935A89"/>
    <w:rsid w:val="0093631E"/>
    <w:rsid w:val="00937337"/>
    <w:rsid w:val="00940861"/>
    <w:rsid w:val="009409C6"/>
    <w:rsid w:val="00940FF1"/>
    <w:rsid w:val="009428C7"/>
    <w:rsid w:val="0094328E"/>
    <w:rsid w:val="00943398"/>
    <w:rsid w:val="009454D5"/>
    <w:rsid w:val="00945A7D"/>
    <w:rsid w:val="00945E16"/>
    <w:rsid w:val="00946672"/>
    <w:rsid w:val="00946932"/>
    <w:rsid w:val="00947E79"/>
    <w:rsid w:val="00950592"/>
    <w:rsid w:val="0095081D"/>
    <w:rsid w:val="00950BF6"/>
    <w:rsid w:val="009510B4"/>
    <w:rsid w:val="00952E50"/>
    <w:rsid w:val="0095352E"/>
    <w:rsid w:val="009535C6"/>
    <w:rsid w:val="00953AE4"/>
    <w:rsid w:val="00953BE5"/>
    <w:rsid w:val="00954F76"/>
    <w:rsid w:val="00955935"/>
    <w:rsid w:val="00955F24"/>
    <w:rsid w:val="00956252"/>
    <w:rsid w:val="00956828"/>
    <w:rsid w:val="009578A1"/>
    <w:rsid w:val="0096011B"/>
    <w:rsid w:val="00960BAA"/>
    <w:rsid w:val="009614C3"/>
    <w:rsid w:val="009624D1"/>
    <w:rsid w:val="009651BD"/>
    <w:rsid w:val="00965951"/>
    <w:rsid w:val="00967602"/>
    <w:rsid w:val="00967A88"/>
    <w:rsid w:val="00970113"/>
    <w:rsid w:val="00970552"/>
    <w:rsid w:val="00972251"/>
    <w:rsid w:val="0097330C"/>
    <w:rsid w:val="00974D33"/>
    <w:rsid w:val="00975A6A"/>
    <w:rsid w:val="00975A6E"/>
    <w:rsid w:val="0097672E"/>
    <w:rsid w:val="009807C7"/>
    <w:rsid w:val="00980B46"/>
    <w:rsid w:val="00981A2A"/>
    <w:rsid w:val="00982EA1"/>
    <w:rsid w:val="00983634"/>
    <w:rsid w:val="00983FF8"/>
    <w:rsid w:val="0098472A"/>
    <w:rsid w:val="00984774"/>
    <w:rsid w:val="009851BF"/>
    <w:rsid w:val="00985E92"/>
    <w:rsid w:val="00986A49"/>
    <w:rsid w:val="00987350"/>
    <w:rsid w:val="00990239"/>
    <w:rsid w:val="00990505"/>
    <w:rsid w:val="009939A6"/>
    <w:rsid w:val="009939DA"/>
    <w:rsid w:val="00996C6B"/>
    <w:rsid w:val="00997A7E"/>
    <w:rsid w:val="009A40C1"/>
    <w:rsid w:val="009A4D79"/>
    <w:rsid w:val="009A667F"/>
    <w:rsid w:val="009B1630"/>
    <w:rsid w:val="009B1E27"/>
    <w:rsid w:val="009B3497"/>
    <w:rsid w:val="009B3938"/>
    <w:rsid w:val="009B4F7C"/>
    <w:rsid w:val="009B50F5"/>
    <w:rsid w:val="009B536D"/>
    <w:rsid w:val="009B67F9"/>
    <w:rsid w:val="009B727F"/>
    <w:rsid w:val="009B7B0F"/>
    <w:rsid w:val="009C1395"/>
    <w:rsid w:val="009C2732"/>
    <w:rsid w:val="009C3795"/>
    <w:rsid w:val="009C4813"/>
    <w:rsid w:val="009C59BB"/>
    <w:rsid w:val="009C64A2"/>
    <w:rsid w:val="009C73DF"/>
    <w:rsid w:val="009D1732"/>
    <w:rsid w:val="009D369C"/>
    <w:rsid w:val="009D3A52"/>
    <w:rsid w:val="009D412F"/>
    <w:rsid w:val="009D5311"/>
    <w:rsid w:val="009D5CE5"/>
    <w:rsid w:val="009D6939"/>
    <w:rsid w:val="009D6BD2"/>
    <w:rsid w:val="009D7CF2"/>
    <w:rsid w:val="009D7DDA"/>
    <w:rsid w:val="009E0F1A"/>
    <w:rsid w:val="009E15DB"/>
    <w:rsid w:val="009E2787"/>
    <w:rsid w:val="009E2830"/>
    <w:rsid w:val="009E2C44"/>
    <w:rsid w:val="009E2E72"/>
    <w:rsid w:val="009E407B"/>
    <w:rsid w:val="009E467D"/>
    <w:rsid w:val="009E4E97"/>
    <w:rsid w:val="009E541A"/>
    <w:rsid w:val="009E7537"/>
    <w:rsid w:val="009E7C38"/>
    <w:rsid w:val="009E7F08"/>
    <w:rsid w:val="009F0063"/>
    <w:rsid w:val="009F00E3"/>
    <w:rsid w:val="009F0DF9"/>
    <w:rsid w:val="009F148D"/>
    <w:rsid w:val="009F1FD0"/>
    <w:rsid w:val="009F24AA"/>
    <w:rsid w:val="009F3654"/>
    <w:rsid w:val="009F3881"/>
    <w:rsid w:val="009F75EE"/>
    <w:rsid w:val="009F7E33"/>
    <w:rsid w:val="00A001ED"/>
    <w:rsid w:val="00A01045"/>
    <w:rsid w:val="00A02B52"/>
    <w:rsid w:val="00A03378"/>
    <w:rsid w:val="00A034B0"/>
    <w:rsid w:val="00A04B52"/>
    <w:rsid w:val="00A061DC"/>
    <w:rsid w:val="00A06989"/>
    <w:rsid w:val="00A06B1E"/>
    <w:rsid w:val="00A06FFE"/>
    <w:rsid w:val="00A07793"/>
    <w:rsid w:val="00A10608"/>
    <w:rsid w:val="00A10AF8"/>
    <w:rsid w:val="00A11479"/>
    <w:rsid w:val="00A11949"/>
    <w:rsid w:val="00A1279C"/>
    <w:rsid w:val="00A15657"/>
    <w:rsid w:val="00A175DE"/>
    <w:rsid w:val="00A176C6"/>
    <w:rsid w:val="00A248B0"/>
    <w:rsid w:val="00A252D9"/>
    <w:rsid w:val="00A26602"/>
    <w:rsid w:val="00A269E2"/>
    <w:rsid w:val="00A26EFC"/>
    <w:rsid w:val="00A304AB"/>
    <w:rsid w:val="00A3086C"/>
    <w:rsid w:val="00A30F61"/>
    <w:rsid w:val="00A31BE8"/>
    <w:rsid w:val="00A31DD7"/>
    <w:rsid w:val="00A32BEC"/>
    <w:rsid w:val="00A343AE"/>
    <w:rsid w:val="00A35A6B"/>
    <w:rsid w:val="00A35C86"/>
    <w:rsid w:val="00A36F2A"/>
    <w:rsid w:val="00A37043"/>
    <w:rsid w:val="00A37D28"/>
    <w:rsid w:val="00A37DEE"/>
    <w:rsid w:val="00A37E39"/>
    <w:rsid w:val="00A40927"/>
    <w:rsid w:val="00A414BB"/>
    <w:rsid w:val="00A41558"/>
    <w:rsid w:val="00A41A2F"/>
    <w:rsid w:val="00A41AF9"/>
    <w:rsid w:val="00A431F1"/>
    <w:rsid w:val="00A4532F"/>
    <w:rsid w:val="00A465A3"/>
    <w:rsid w:val="00A46B76"/>
    <w:rsid w:val="00A4724E"/>
    <w:rsid w:val="00A4744B"/>
    <w:rsid w:val="00A47527"/>
    <w:rsid w:val="00A47CC0"/>
    <w:rsid w:val="00A5022F"/>
    <w:rsid w:val="00A52685"/>
    <w:rsid w:val="00A5321A"/>
    <w:rsid w:val="00A54819"/>
    <w:rsid w:val="00A5481A"/>
    <w:rsid w:val="00A557BF"/>
    <w:rsid w:val="00A57228"/>
    <w:rsid w:val="00A57951"/>
    <w:rsid w:val="00A57B0B"/>
    <w:rsid w:val="00A57B7B"/>
    <w:rsid w:val="00A63A8D"/>
    <w:rsid w:val="00A63E68"/>
    <w:rsid w:val="00A647C8"/>
    <w:rsid w:val="00A64888"/>
    <w:rsid w:val="00A652E9"/>
    <w:rsid w:val="00A66D4C"/>
    <w:rsid w:val="00A66EB0"/>
    <w:rsid w:val="00A70312"/>
    <w:rsid w:val="00A70AF1"/>
    <w:rsid w:val="00A70F9F"/>
    <w:rsid w:val="00A720A6"/>
    <w:rsid w:val="00A72D16"/>
    <w:rsid w:val="00A72E32"/>
    <w:rsid w:val="00A73AD1"/>
    <w:rsid w:val="00A74B63"/>
    <w:rsid w:val="00A75AC7"/>
    <w:rsid w:val="00A76744"/>
    <w:rsid w:val="00A7726A"/>
    <w:rsid w:val="00A82FF7"/>
    <w:rsid w:val="00A8527A"/>
    <w:rsid w:val="00A85B16"/>
    <w:rsid w:val="00A86B23"/>
    <w:rsid w:val="00A86BF3"/>
    <w:rsid w:val="00A872E0"/>
    <w:rsid w:val="00A8767A"/>
    <w:rsid w:val="00A87C11"/>
    <w:rsid w:val="00A90EEC"/>
    <w:rsid w:val="00A91DBC"/>
    <w:rsid w:val="00A925E4"/>
    <w:rsid w:val="00A93021"/>
    <w:rsid w:val="00A9346C"/>
    <w:rsid w:val="00A93B1D"/>
    <w:rsid w:val="00A9475C"/>
    <w:rsid w:val="00A95B43"/>
    <w:rsid w:val="00A96C39"/>
    <w:rsid w:val="00AA12B3"/>
    <w:rsid w:val="00AA1652"/>
    <w:rsid w:val="00AA2F51"/>
    <w:rsid w:val="00AA3D51"/>
    <w:rsid w:val="00AA7650"/>
    <w:rsid w:val="00AB0576"/>
    <w:rsid w:val="00AB0602"/>
    <w:rsid w:val="00AB0CC5"/>
    <w:rsid w:val="00AB1271"/>
    <w:rsid w:val="00AB1D70"/>
    <w:rsid w:val="00AB4173"/>
    <w:rsid w:val="00AB6D86"/>
    <w:rsid w:val="00AB792D"/>
    <w:rsid w:val="00AC02D1"/>
    <w:rsid w:val="00AC1C06"/>
    <w:rsid w:val="00AC2B50"/>
    <w:rsid w:val="00AC3C42"/>
    <w:rsid w:val="00AC42E4"/>
    <w:rsid w:val="00AC5A41"/>
    <w:rsid w:val="00AC67AF"/>
    <w:rsid w:val="00AC78EE"/>
    <w:rsid w:val="00AC7A0A"/>
    <w:rsid w:val="00AD01A4"/>
    <w:rsid w:val="00AD0DEB"/>
    <w:rsid w:val="00AD1390"/>
    <w:rsid w:val="00AD1B86"/>
    <w:rsid w:val="00AD2698"/>
    <w:rsid w:val="00AD2952"/>
    <w:rsid w:val="00AD4D15"/>
    <w:rsid w:val="00AD539A"/>
    <w:rsid w:val="00AD66E2"/>
    <w:rsid w:val="00AD6943"/>
    <w:rsid w:val="00AD6A52"/>
    <w:rsid w:val="00AD6BF4"/>
    <w:rsid w:val="00AD74B8"/>
    <w:rsid w:val="00AD7546"/>
    <w:rsid w:val="00AE0E04"/>
    <w:rsid w:val="00AE1397"/>
    <w:rsid w:val="00AE2267"/>
    <w:rsid w:val="00AE2990"/>
    <w:rsid w:val="00AE3E97"/>
    <w:rsid w:val="00AE525F"/>
    <w:rsid w:val="00AE5945"/>
    <w:rsid w:val="00AE6E8F"/>
    <w:rsid w:val="00AE73F9"/>
    <w:rsid w:val="00AE7415"/>
    <w:rsid w:val="00AE756B"/>
    <w:rsid w:val="00AF0C9B"/>
    <w:rsid w:val="00AF16B2"/>
    <w:rsid w:val="00AF2FE4"/>
    <w:rsid w:val="00AF3E9B"/>
    <w:rsid w:val="00AF3F4F"/>
    <w:rsid w:val="00AF4884"/>
    <w:rsid w:val="00AF5016"/>
    <w:rsid w:val="00AF6D49"/>
    <w:rsid w:val="00B00D4A"/>
    <w:rsid w:val="00B0316D"/>
    <w:rsid w:val="00B06275"/>
    <w:rsid w:val="00B0692E"/>
    <w:rsid w:val="00B07679"/>
    <w:rsid w:val="00B105D7"/>
    <w:rsid w:val="00B124DE"/>
    <w:rsid w:val="00B137BA"/>
    <w:rsid w:val="00B13E4A"/>
    <w:rsid w:val="00B148A3"/>
    <w:rsid w:val="00B148BA"/>
    <w:rsid w:val="00B15342"/>
    <w:rsid w:val="00B16431"/>
    <w:rsid w:val="00B16441"/>
    <w:rsid w:val="00B17335"/>
    <w:rsid w:val="00B2069A"/>
    <w:rsid w:val="00B21EBE"/>
    <w:rsid w:val="00B22CC8"/>
    <w:rsid w:val="00B2333A"/>
    <w:rsid w:val="00B255A3"/>
    <w:rsid w:val="00B25820"/>
    <w:rsid w:val="00B262EF"/>
    <w:rsid w:val="00B27F36"/>
    <w:rsid w:val="00B3063C"/>
    <w:rsid w:val="00B31EA3"/>
    <w:rsid w:val="00B31F78"/>
    <w:rsid w:val="00B36152"/>
    <w:rsid w:val="00B3697B"/>
    <w:rsid w:val="00B41886"/>
    <w:rsid w:val="00B42F70"/>
    <w:rsid w:val="00B44CC6"/>
    <w:rsid w:val="00B457D5"/>
    <w:rsid w:val="00B458C9"/>
    <w:rsid w:val="00B46280"/>
    <w:rsid w:val="00B46C49"/>
    <w:rsid w:val="00B47F82"/>
    <w:rsid w:val="00B50203"/>
    <w:rsid w:val="00B51109"/>
    <w:rsid w:val="00B519A9"/>
    <w:rsid w:val="00B52169"/>
    <w:rsid w:val="00B521D7"/>
    <w:rsid w:val="00B52390"/>
    <w:rsid w:val="00B530DC"/>
    <w:rsid w:val="00B53C24"/>
    <w:rsid w:val="00B55E62"/>
    <w:rsid w:val="00B561A8"/>
    <w:rsid w:val="00B613BF"/>
    <w:rsid w:val="00B61749"/>
    <w:rsid w:val="00B61D1F"/>
    <w:rsid w:val="00B61DF3"/>
    <w:rsid w:val="00B64B2D"/>
    <w:rsid w:val="00B64F0D"/>
    <w:rsid w:val="00B66F3A"/>
    <w:rsid w:val="00B6763B"/>
    <w:rsid w:val="00B70353"/>
    <w:rsid w:val="00B70E70"/>
    <w:rsid w:val="00B74B8E"/>
    <w:rsid w:val="00B74BC7"/>
    <w:rsid w:val="00B75C37"/>
    <w:rsid w:val="00B75C81"/>
    <w:rsid w:val="00B76885"/>
    <w:rsid w:val="00B76C14"/>
    <w:rsid w:val="00B77657"/>
    <w:rsid w:val="00B800D6"/>
    <w:rsid w:val="00B80A94"/>
    <w:rsid w:val="00B81AAC"/>
    <w:rsid w:val="00B82825"/>
    <w:rsid w:val="00B8298C"/>
    <w:rsid w:val="00B838A2"/>
    <w:rsid w:val="00B854D4"/>
    <w:rsid w:val="00B863B3"/>
    <w:rsid w:val="00B8685D"/>
    <w:rsid w:val="00B86EF2"/>
    <w:rsid w:val="00B87367"/>
    <w:rsid w:val="00B910FD"/>
    <w:rsid w:val="00B91AC0"/>
    <w:rsid w:val="00B91D9F"/>
    <w:rsid w:val="00B921BA"/>
    <w:rsid w:val="00B956A9"/>
    <w:rsid w:val="00B95FA4"/>
    <w:rsid w:val="00B96823"/>
    <w:rsid w:val="00BA17EA"/>
    <w:rsid w:val="00BA19AB"/>
    <w:rsid w:val="00BA3413"/>
    <w:rsid w:val="00BA3B06"/>
    <w:rsid w:val="00BA4BAE"/>
    <w:rsid w:val="00BA4CAE"/>
    <w:rsid w:val="00BA66D2"/>
    <w:rsid w:val="00BB0FED"/>
    <w:rsid w:val="00BB1368"/>
    <w:rsid w:val="00BB2EC2"/>
    <w:rsid w:val="00BB4D66"/>
    <w:rsid w:val="00BB4DA8"/>
    <w:rsid w:val="00BB50CA"/>
    <w:rsid w:val="00BB538E"/>
    <w:rsid w:val="00BB5E5C"/>
    <w:rsid w:val="00BB6A6B"/>
    <w:rsid w:val="00BC06B9"/>
    <w:rsid w:val="00BC0F36"/>
    <w:rsid w:val="00BC0F3A"/>
    <w:rsid w:val="00BC12F1"/>
    <w:rsid w:val="00BC1BAC"/>
    <w:rsid w:val="00BC24D1"/>
    <w:rsid w:val="00BC2594"/>
    <w:rsid w:val="00BC2E4A"/>
    <w:rsid w:val="00BC2E50"/>
    <w:rsid w:val="00BC3821"/>
    <w:rsid w:val="00BC54AF"/>
    <w:rsid w:val="00BC7914"/>
    <w:rsid w:val="00BC7A00"/>
    <w:rsid w:val="00BC7D2A"/>
    <w:rsid w:val="00BD0EBC"/>
    <w:rsid w:val="00BD3036"/>
    <w:rsid w:val="00BD3723"/>
    <w:rsid w:val="00BD4D29"/>
    <w:rsid w:val="00BD56BD"/>
    <w:rsid w:val="00BD5FE9"/>
    <w:rsid w:val="00BD605C"/>
    <w:rsid w:val="00BD7AAA"/>
    <w:rsid w:val="00BE0C1E"/>
    <w:rsid w:val="00BE1265"/>
    <w:rsid w:val="00BE3930"/>
    <w:rsid w:val="00BE4FBC"/>
    <w:rsid w:val="00BE6906"/>
    <w:rsid w:val="00BE6CB6"/>
    <w:rsid w:val="00BE6FCD"/>
    <w:rsid w:val="00BE75B6"/>
    <w:rsid w:val="00BE7B74"/>
    <w:rsid w:val="00BE7F70"/>
    <w:rsid w:val="00BF054C"/>
    <w:rsid w:val="00BF0CAB"/>
    <w:rsid w:val="00BF124B"/>
    <w:rsid w:val="00BF1CFF"/>
    <w:rsid w:val="00BF2973"/>
    <w:rsid w:val="00BF33A6"/>
    <w:rsid w:val="00BF35B4"/>
    <w:rsid w:val="00BF3684"/>
    <w:rsid w:val="00BF37EC"/>
    <w:rsid w:val="00BF469B"/>
    <w:rsid w:val="00BF65BB"/>
    <w:rsid w:val="00BF6669"/>
    <w:rsid w:val="00BF74D0"/>
    <w:rsid w:val="00BF7F4C"/>
    <w:rsid w:val="00C007A5"/>
    <w:rsid w:val="00C01135"/>
    <w:rsid w:val="00C0291C"/>
    <w:rsid w:val="00C02E3D"/>
    <w:rsid w:val="00C02FAA"/>
    <w:rsid w:val="00C04B21"/>
    <w:rsid w:val="00C0511A"/>
    <w:rsid w:val="00C05832"/>
    <w:rsid w:val="00C058BB"/>
    <w:rsid w:val="00C102E7"/>
    <w:rsid w:val="00C103D0"/>
    <w:rsid w:val="00C10C94"/>
    <w:rsid w:val="00C11060"/>
    <w:rsid w:val="00C114CD"/>
    <w:rsid w:val="00C11F07"/>
    <w:rsid w:val="00C12947"/>
    <w:rsid w:val="00C12B1D"/>
    <w:rsid w:val="00C13844"/>
    <w:rsid w:val="00C14485"/>
    <w:rsid w:val="00C151FF"/>
    <w:rsid w:val="00C17152"/>
    <w:rsid w:val="00C17609"/>
    <w:rsid w:val="00C2080A"/>
    <w:rsid w:val="00C224F3"/>
    <w:rsid w:val="00C22578"/>
    <w:rsid w:val="00C23628"/>
    <w:rsid w:val="00C261E5"/>
    <w:rsid w:val="00C267D5"/>
    <w:rsid w:val="00C30DBD"/>
    <w:rsid w:val="00C32E4B"/>
    <w:rsid w:val="00C335E0"/>
    <w:rsid w:val="00C33B9C"/>
    <w:rsid w:val="00C3447F"/>
    <w:rsid w:val="00C357A6"/>
    <w:rsid w:val="00C364AB"/>
    <w:rsid w:val="00C4101D"/>
    <w:rsid w:val="00C44239"/>
    <w:rsid w:val="00C457B5"/>
    <w:rsid w:val="00C463E0"/>
    <w:rsid w:val="00C4709B"/>
    <w:rsid w:val="00C47EAE"/>
    <w:rsid w:val="00C501ED"/>
    <w:rsid w:val="00C52787"/>
    <w:rsid w:val="00C52BA0"/>
    <w:rsid w:val="00C5645F"/>
    <w:rsid w:val="00C56932"/>
    <w:rsid w:val="00C57ED1"/>
    <w:rsid w:val="00C60641"/>
    <w:rsid w:val="00C60731"/>
    <w:rsid w:val="00C60CAF"/>
    <w:rsid w:val="00C62781"/>
    <w:rsid w:val="00C63125"/>
    <w:rsid w:val="00C64AE6"/>
    <w:rsid w:val="00C66ED5"/>
    <w:rsid w:val="00C67E25"/>
    <w:rsid w:val="00C70B0E"/>
    <w:rsid w:val="00C711C8"/>
    <w:rsid w:val="00C72104"/>
    <w:rsid w:val="00C73949"/>
    <w:rsid w:val="00C73B67"/>
    <w:rsid w:val="00C76AF0"/>
    <w:rsid w:val="00C76BA0"/>
    <w:rsid w:val="00C77802"/>
    <w:rsid w:val="00C8092C"/>
    <w:rsid w:val="00C80957"/>
    <w:rsid w:val="00C80BE9"/>
    <w:rsid w:val="00C80BEB"/>
    <w:rsid w:val="00C81031"/>
    <w:rsid w:val="00C81F04"/>
    <w:rsid w:val="00C81F4E"/>
    <w:rsid w:val="00C821DA"/>
    <w:rsid w:val="00C822D0"/>
    <w:rsid w:val="00C82555"/>
    <w:rsid w:val="00C8360B"/>
    <w:rsid w:val="00C84974"/>
    <w:rsid w:val="00C8502C"/>
    <w:rsid w:val="00C866D2"/>
    <w:rsid w:val="00C86CA7"/>
    <w:rsid w:val="00C8781B"/>
    <w:rsid w:val="00C901D4"/>
    <w:rsid w:val="00C91A06"/>
    <w:rsid w:val="00C921FE"/>
    <w:rsid w:val="00C92DFF"/>
    <w:rsid w:val="00C94FFA"/>
    <w:rsid w:val="00C95E48"/>
    <w:rsid w:val="00C96714"/>
    <w:rsid w:val="00C97814"/>
    <w:rsid w:val="00C978B9"/>
    <w:rsid w:val="00CA1C7F"/>
    <w:rsid w:val="00CA28A2"/>
    <w:rsid w:val="00CA3593"/>
    <w:rsid w:val="00CA3C6A"/>
    <w:rsid w:val="00CA59B3"/>
    <w:rsid w:val="00CA670B"/>
    <w:rsid w:val="00CA673E"/>
    <w:rsid w:val="00CA7A9F"/>
    <w:rsid w:val="00CA7B48"/>
    <w:rsid w:val="00CA7C8F"/>
    <w:rsid w:val="00CB2D2F"/>
    <w:rsid w:val="00CB42D9"/>
    <w:rsid w:val="00CB6931"/>
    <w:rsid w:val="00CB7AAD"/>
    <w:rsid w:val="00CC0541"/>
    <w:rsid w:val="00CC0606"/>
    <w:rsid w:val="00CC1340"/>
    <w:rsid w:val="00CC4F72"/>
    <w:rsid w:val="00CC69DE"/>
    <w:rsid w:val="00CC7528"/>
    <w:rsid w:val="00CD0AF9"/>
    <w:rsid w:val="00CD22D7"/>
    <w:rsid w:val="00CD25B9"/>
    <w:rsid w:val="00CD2D24"/>
    <w:rsid w:val="00CD3761"/>
    <w:rsid w:val="00CD3C24"/>
    <w:rsid w:val="00CD5998"/>
    <w:rsid w:val="00CD6366"/>
    <w:rsid w:val="00CD73A8"/>
    <w:rsid w:val="00CE026C"/>
    <w:rsid w:val="00CE16F8"/>
    <w:rsid w:val="00CE17B7"/>
    <w:rsid w:val="00CE28F6"/>
    <w:rsid w:val="00CE395D"/>
    <w:rsid w:val="00CE411D"/>
    <w:rsid w:val="00CE4BE5"/>
    <w:rsid w:val="00CE6007"/>
    <w:rsid w:val="00CE6DE3"/>
    <w:rsid w:val="00CE757B"/>
    <w:rsid w:val="00CE7C79"/>
    <w:rsid w:val="00CF053B"/>
    <w:rsid w:val="00CF05A3"/>
    <w:rsid w:val="00CF244A"/>
    <w:rsid w:val="00CF2671"/>
    <w:rsid w:val="00CF4AAE"/>
    <w:rsid w:val="00CF5B65"/>
    <w:rsid w:val="00CF733C"/>
    <w:rsid w:val="00D00337"/>
    <w:rsid w:val="00D0262A"/>
    <w:rsid w:val="00D03C9C"/>
    <w:rsid w:val="00D041C6"/>
    <w:rsid w:val="00D04226"/>
    <w:rsid w:val="00D042AA"/>
    <w:rsid w:val="00D049E2"/>
    <w:rsid w:val="00D056A7"/>
    <w:rsid w:val="00D05857"/>
    <w:rsid w:val="00D05D0B"/>
    <w:rsid w:val="00D075A3"/>
    <w:rsid w:val="00D10DF9"/>
    <w:rsid w:val="00D114F4"/>
    <w:rsid w:val="00D1216D"/>
    <w:rsid w:val="00D130F0"/>
    <w:rsid w:val="00D13C6E"/>
    <w:rsid w:val="00D1420B"/>
    <w:rsid w:val="00D142F7"/>
    <w:rsid w:val="00D14A8D"/>
    <w:rsid w:val="00D15033"/>
    <w:rsid w:val="00D1529D"/>
    <w:rsid w:val="00D1543F"/>
    <w:rsid w:val="00D1566E"/>
    <w:rsid w:val="00D212BC"/>
    <w:rsid w:val="00D22D78"/>
    <w:rsid w:val="00D22E9A"/>
    <w:rsid w:val="00D25B77"/>
    <w:rsid w:val="00D26740"/>
    <w:rsid w:val="00D27133"/>
    <w:rsid w:val="00D27A03"/>
    <w:rsid w:val="00D314E5"/>
    <w:rsid w:val="00D322C1"/>
    <w:rsid w:val="00D3390A"/>
    <w:rsid w:val="00D359F7"/>
    <w:rsid w:val="00D35AB1"/>
    <w:rsid w:val="00D35EE8"/>
    <w:rsid w:val="00D36D76"/>
    <w:rsid w:val="00D37933"/>
    <w:rsid w:val="00D4176E"/>
    <w:rsid w:val="00D42A0C"/>
    <w:rsid w:val="00D44429"/>
    <w:rsid w:val="00D449B0"/>
    <w:rsid w:val="00D45520"/>
    <w:rsid w:val="00D457EC"/>
    <w:rsid w:val="00D45B43"/>
    <w:rsid w:val="00D45D86"/>
    <w:rsid w:val="00D46189"/>
    <w:rsid w:val="00D46426"/>
    <w:rsid w:val="00D4658E"/>
    <w:rsid w:val="00D47638"/>
    <w:rsid w:val="00D50754"/>
    <w:rsid w:val="00D51548"/>
    <w:rsid w:val="00D51DA4"/>
    <w:rsid w:val="00D51EE2"/>
    <w:rsid w:val="00D52EE5"/>
    <w:rsid w:val="00D53DB0"/>
    <w:rsid w:val="00D54E80"/>
    <w:rsid w:val="00D56383"/>
    <w:rsid w:val="00D56665"/>
    <w:rsid w:val="00D56A40"/>
    <w:rsid w:val="00D57253"/>
    <w:rsid w:val="00D609CC"/>
    <w:rsid w:val="00D61590"/>
    <w:rsid w:val="00D6166F"/>
    <w:rsid w:val="00D62C6B"/>
    <w:rsid w:val="00D63161"/>
    <w:rsid w:val="00D6326D"/>
    <w:rsid w:val="00D63E6D"/>
    <w:rsid w:val="00D63E75"/>
    <w:rsid w:val="00D6425C"/>
    <w:rsid w:val="00D6688E"/>
    <w:rsid w:val="00D66EBA"/>
    <w:rsid w:val="00D67A02"/>
    <w:rsid w:val="00D70E2C"/>
    <w:rsid w:val="00D71178"/>
    <w:rsid w:val="00D71370"/>
    <w:rsid w:val="00D72AE4"/>
    <w:rsid w:val="00D7366A"/>
    <w:rsid w:val="00D73D6A"/>
    <w:rsid w:val="00D74D87"/>
    <w:rsid w:val="00D7544A"/>
    <w:rsid w:val="00D75B74"/>
    <w:rsid w:val="00D7688E"/>
    <w:rsid w:val="00D76D72"/>
    <w:rsid w:val="00D77EEC"/>
    <w:rsid w:val="00D816D8"/>
    <w:rsid w:val="00D8478A"/>
    <w:rsid w:val="00D85187"/>
    <w:rsid w:val="00D86D79"/>
    <w:rsid w:val="00D87832"/>
    <w:rsid w:val="00D87BBB"/>
    <w:rsid w:val="00D902B7"/>
    <w:rsid w:val="00D90662"/>
    <w:rsid w:val="00D90774"/>
    <w:rsid w:val="00D9099C"/>
    <w:rsid w:val="00D90A79"/>
    <w:rsid w:val="00D90FD5"/>
    <w:rsid w:val="00D91579"/>
    <w:rsid w:val="00D91857"/>
    <w:rsid w:val="00D92B14"/>
    <w:rsid w:val="00D94B7B"/>
    <w:rsid w:val="00D960B4"/>
    <w:rsid w:val="00D96D35"/>
    <w:rsid w:val="00D97100"/>
    <w:rsid w:val="00D9713B"/>
    <w:rsid w:val="00D9720F"/>
    <w:rsid w:val="00D97253"/>
    <w:rsid w:val="00D97DAB"/>
    <w:rsid w:val="00DA1D7A"/>
    <w:rsid w:val="00DA253F"/>
    <w:rsid w:val="00DA280F"/>
    <w:rsid w:val="00DA3CA5"/>
    <w:rsid w:val="00DA576A"/>
    <w:rsid w:val="00DA740B"/>
    <w:rsid w:val="00DA7672"/>
    <w:rsid w:val="00DA7FFB"/>
    <w:rsid w:val="00DB15F6"/>
    <w:rsid w:val="00DB35CF"/>
    <w:rsid w:val="00DB43F9"/>
    <w:rsid w:val="00DB44B4"/>
    <w:rsid w:val="00DB540C"/>
    <w:rsid w:val="00DB5B1F"/>
    <w:rsid w:val="00DB7440"/>
    <w:rsid w:val="00DB7779"/>
    <w:rsid w:val="00DB77C0"/>
    <w:rsid w:val="00DC10E7"/>
    <w:rsid w:val="00DC12C0"/>
    <w:rsid w:val="00DC172C"/>
    <w:rsid w:val="00DC2BB7"/>
    <w:rsid w:val="00DC4232"/>
    <w:rsid w:val="00DC5700"/>
    <w:rsid w:val="00DC6968"/>
    <w:rsid w:val="00DC7BA3"/>
    <w:rsid w:val="00DC7E32"/>
    <w:rsid w:val="00DD15E8"/>
    <w:rsid w:val="00DD25B2"/>
    <w:rsid w:val="00DD3A10"/>
    <w:rsid w:val="00DD3C52"/>
    <w:rsid w:val="00DD3D33"/>
    <w:rsid w:val="00DD49DF"/>
    <w:rsid w:val="00DD502B"/>
    <w:rsid w:val="00DD5BF9"/>
    <w:rsid w:val="00DD5C8C"/>
    <w:rsid w:val="00DD6463"/>
    <w:rsid w:val="00DE0FD9"/>
    <w:rsid w:val="00DE1886"/>
    <w:rsid w:val="00DE3529"/>
    <w:rsid w:val="00DE37A6"/>
    <w:rsid w:val="00DE3A29"/>
    <w:rsid w:val="00DE4155"/>
    <w:rsid w:val="00DE46DA"/>
    <w:rsid w:val="00DE4F32"/>
    <w:rsid w:val="00DE582B"/>
    <w:rsid w:val="00DF12A3"/>
    <w:rsid w:val="00DF2A61"/>
    <w:rsid w:val="00DF3113"/>
    <w:rsid w:val="00DF41D7"/>
    <w:rsid w:val="00DF48BC"/>
    <w:rsid w:val="00DF6098"/>
    <w:rsid w:val="00DF64D0"/>
    <w:rsid w:val="00E031FF"/>
    <w:rsid w:val="00E03D14"/>
    <w:rsid w:val="00E056F3"/>
    <w:rsid w:val="00E060DD"/>
    <w:rsid w:val="00E067E5"/>
    <w:rsid w:val="00E06FBB"/>
    <w:rsid w:val="00E0718C"/>
    <w:rsid w:val="00E0761A"/>
    <w:rsid w:val="00E10E8E"/>
    <w:rsid w:val="00E13DA2"/>
    <w:rsid w:val="00E15A9E"/>
    <w:rsid w:val="00E15DC2"/>
    <w:rsid w:val="00E1743F"/>
    <w:rsid w:val="00E2069D"/>
    <w:rsid w:val="00E20A20"/>
    <w:rsid w:val="00E21379"/>
    <w:rsid w:val="00E21C16"/>
    <w:rsid w:val="00E21D8A"/>
    <w:rsid w:val="00E24000"/>
    <w:rsid w:val="00E2439B"/>
    <w:rsid w:val="00E24EF5"/>
    <w:rsid w:val="00E26091"/>
    <w:rsid w:val="00E26F09"/>
    <w:rsid w:val="00E276CC"/>
    <w:rsid w:val="00E30780"/>
    <w:rsid w:val="00E3132E"/>
    <w:rsid w:val="00E31978"/>
    <w:rsid w:val="00E32458"/>
    <w:rsid w:val="00E34305"/>
    <w:rsid w:val="00E361E0"/>
    <w:rsid w:val="00E36664"/>
    <w:rsid w:val="00E36E4F"/>
    <w:rsid w:val="00E37AB1"/>
    <w:rsid w:val="00E408F0"/>
    <w:rsid w:val="00E420D7"/>
    <w:rsid w:val="00E42A1B"/>
    <w:rsid w:val="00E43581"/>
    <w:rsid w:val="00E4366F"/>
    <w:rsid w:val="00E44AE8"/>
    <w:rsid w:val="00E468E4"/>
    <w:rsid w:val="00E46B7F"/>
    <w:rsid w:val="00E46F7D"/>
    <w:rsid w:val="00E473C1"/>
    <w:rsid w:val="00E4798D"/>
    <w:rsid w:val="00E47B36"/>
    <w:rsid w:val="00E47CED"/>
    <w:rsid w:val="00E51312"/>
    <w:rsid w:val="00E5239D"/>
    <w:rsid w:val="00E52C5E"/>
    <w:rsid w:val="00E52D6E"/>
    <w:rsid w:val="00E5335D"/>
    <w:rsid w:val="00E539AD"/>
    <w:rsid w:val="00E552F6"/>
    <w:rsid w:val="00E556CF"/>
    <w:rsid w:val="00E55944"/>
    <w:rsid w:val="00E55AC2"/>
    <w:rsid w:val="00E55D72"/>
    <w:rsid w:val="00E56E0A"/>
    <w:rsid w:val="00E56E7A"/>
    <w:rsid w:val="00E623B7"/>
    <w:rsid w:val="00E63B8A"/>
    <w:rsid w:val="00E63BFD"/>
    <w:rsid w:val="00E63D2F"/>
    <w:rsid w:val="00E641AE"/>
    <w:rsid w:val="00E6697E"/>
    <w:rsid w:val="00E67378"/>
    <w:rsid w:val="00E7156A"/>
    <w:rsid w:val="00E7565D"/>
    <w:rsid w:val="00E76374"/>
    <w:rsid w:val="00E763F0"/>
    <w:rsid w:val="00E76664"/>
    <w:rsid w:val="00E76E7A"/>
    <w:rsid w:val="00E77F47"/>
    <w:rsid w:val="00E80127"/>
    <w:rsid w:val="00E803F5"/>
    <w:rsid w:val="00E807B0"/>
    <w:rsid w:val="00E8083F"/>
    <w:rsid w:val="00E81A98"/>
    <w:rsid w:val="00E82F00"/>
    <w:rsid w:val="00E83568"/>
    <w:rsid w:val="00E83AB2"/>
    <w:rsid w:val="00E84B02"/>
    <w:rsid w:val="00E84F54"/>
    <w:rsid w:val="00E86C85"/>
    <w:rsid w:val="00E8705F"/>
    <w:rsid w:val="00E87357"/>
    <w:rsid w:val="00E90047"/>
    <w:rsid w:val="00E90AF1"/>
    <w:rsid w:val="00E92C0D"/>
    <w:rsid w:val="00E95635"/>
    <w:rsid w:val="00E96C90"/>
    <w:rsid w:val="00E96ECC"/>
    <w:rsid w:val="00E972DA"/>
    <w:rsid w:val="00EA1845"/>
    <w:rsid w:val="00EA276A"/>
    <w:rsid w:val="00EA325D"/>
    <w:rsid w:val="00EA3550"/>
    <w:rsid w:val="00EA3FD6"/>
    <w:rsid w:val="00EA5B86"/>
    <w:rsid w:val="00EA66B5"/>
    <w:rsid w:val="00EA6E96"/>
    <w:rsid w:val="00EA778C"/>
    <w:rsid w:val="00EB0836"/>
    <w:rsid w:val="00EB1243"/>
    <w:rsid w:val="00EB1D64"/>
    <w:rsid w:val="00EB3A50"/>
    <w:rsid w:val="00EB3AB5"/>
    <w:rsid w:val="00EB44B7"/>
    <w:rsid w:val="00EB5C22"/>
    <w:rsid w:val="00EB6537"/>
    <w:rsid w:val="00EB7201"/>
    <w:rsid w:val="00EB7748"/>
    <w:rsid w:val="00EC3DB9"/>
    <w:rsid w:val="00EC5ACE"/>
    <w:rsid w:val="00EC5FD7"/>
    <w:rsid w:val="00EC69B3"/>
    <w:rsid w:val="00EC7A77"/>
    <w:rsid w:val="00ED0CE8"/>
    <w:rsid w:val="00ED1F06"/>
    <w:rsid w:val="00ED2444"/>
    <w:rsid w:val="00ED4B33"/>
    <w:rsid w:val="00ED4E52"/>
    <w:rsid w:val="00ED5084"/>
    <w:rsid w:val="00ED548F"/>
    <w:rsid w:val="00ED5EFC"/>
    <w:rsid w:val="00ED6EB2"/>
    <w:rsid w:val="00ED7F27"/>
    <w:rsid w:val="00EE23E5"/>
    <w:rsid w:val="00EE2D65"/>
    <w:rsid w:val="00EE2FAB"/>
    <w:rsid w:val="00EE4246"/>
    <w:rsid w:val="00EE579A"/>
    <w:rsid w:val="00EE5F7D"/>
    <w:rsid w:val="00EE6BCF"/>
    <w:rsid w:val="00EE7482"/>
    <w:rsid w:val="00EE7B64"/>
    <w:rsid w:val="00EF0752"/>
    <w:rsid w:val="00EF290D"/>
    <w:rsid w:val="00EF2ADF"/>
    <w:rsid w:val="00EF2FD9"/>
    <w:rsid w:val="00EF3538"/>
    <w:rsid w:val="00EF355C"/>
    <w:rsid w:val="00EF371A"/>
    <w:rsid w:val="00EF3A7B"/>
    <w:rsid w:val="00EF3BEF"/>
    <w:rsid w:val="00EF3DAB"/>
    <w:rsid w:val="00EF6FB8"/>
    <w:rsid w:val="00EF7F10"/>
    <w:rsid w:val="00EF7F95"/>
    <w:rsid w:val="00F00C42"/>
    <w:rsid w:val="00F04B38"/>
    <w:rsid w:val="00F11B38"/>
    <w:rsid w:val="00F11CE9"/>
    <w:rsid w:val="00F11FE8"/>
    <w:rsid w:val="00F12266"/>
    <w:rsid w:val="00F1432A"/>
    <w:rsid w:val="00F15269"/>
    <w:rsid w:val="00F159D2"/>
    <w:rsid w:val="00F17E82"/>
    <w:rsid w:val="00F20062"/>
    <w:rsid w:val="00F21DF2"/>
    <w:rsid w:val="00F25D6F"/>
    <w:rsid w:val="00F268CF"/>
    <w:rsid w:val="00F27180"/>
    <w:rsid w:val="00F27549"/>
    <w:rsid w:val="00F27BF1"/>
    <w:rsid w:val="00F314ED"/>
    <w:rsid w:val="00F32B8C"/>
    <w:rsid w:val="00F32E2F"/>
    <w:rsid w:val="00F34942"/>
    <w:rsid w:val="00F353F2"/>
    <w:rsid w:val="00F35967"/>
    <w:rsid w:val="00F369D5"/>
    <w:rsid w:val="00F36E69"/>
    <w:rsid w:val="00F37625"/>
    <w:rsid w:val="00F37BAA"/>
    <w:rsid w:val="00F41F30"/>
    <w:rsid w:val="00F42177"/>
    <w:rsid w:val="00F42644"/>
    <w:rsid w:val="00F42E36"/>
    <w:rsid w:val="00F443B3"/>
    <w:rsid w:val="00F444D2"/>
    <w:rsid w:val="00F45EA0"/>
    <w:rsid w:val="00F4718E"/>
    <w:rsid w:val="00F51875"/>
    <w:rsid w:val="00F51CF2"/>
    <w:rsid w:val="00F51EE9"/>
    <w:rsid w:val="00F61E20"/>
    <w:rsid w:val="00F64C9F"/>
    <w:rsid w:val="00F65E21"/>
    <w:rsid w:val="00F676CF"/>
    <w:rsid w:val="00F71870"/>
    <w:rsid w:val="00F71932"/>
    <w:rsid w:val="00F72952"/>
    <w:rsid w:val="00F7447A"/>
    <w:rsid w:val="00F747F7"/>
    <w:rsid w:val="00F769AB"/>
    <w:rsid w:val="00F76D96"/>
    <w:rsid w:val="00F776F4"/>
    <w:rsid w:val="00F7778D"/>
    <w:rsid w:val="00F7780D"/>
    <w:rsid w:val="00F80FF4"/>
    <w:rsid w:val="00F81207"/>
    <w:rsid w:val="00F81331"/>
    <w:rsid w:val="00F8143F"/>
    <w:rsid w:val="00F82444"/>
    <w:rsid w:val="00F82591"/>
    <w:rsid w:val="00F82F29"/>
    <w:rsid w:val="00F83734"/>
    <w:rsid w:val="00F84FC9"/>
    <w:rsid w:val="00F86228"/>
    <w:rsid w:val="00F86770"/>
    <w:rsid w:val="00F902C3"/>
    <w:rsid w:val="00F90895"/>
    <w:rsid w:val="00F910D0"/>
    <w:rsid w:val="00F92055"/>
    <w:rsid w:val="00F9236D"/>
    <w:rsid w:val="00F92A79"/>
    <w:rsid w:val="00F92CFF"/>
    <w:rsid w:val="00F93687"/>
    <w:rsid w:val="00F95792"/>
    <w:rsid w:val="00F97CCF"/>
    <w:rsid w:val="00F97EC6"/>
    <w:rsid w:val="00FA0F71"/>
    <w:rsid w:val="00FA440A"/>
    <w:rsid w:val="00FA5436"/>
    <w:rsid w:val="00FA5BF7"/>
    <w:rsid w:val="00FB06B2"/>
    <w:rsid w:val="00FB0D20"/>
    <w:rsid w:val="00FB117B"/>
    <w:rsid w:val="00FB2BF1"/>
    <w:rsid w:val="00FB2DC7"/>
    <w:rsid w:val="00FB5B42"/>
    <w:rsid w:val="00FB5EDE"/>
    <w:rsid w:val="00FC0913"/>
    <w:rsid w:val="00FC1241"/>
    <w:rsid w:val="00FC6420"/>
    <w:rsid w:val="00FC7C9C"/>
    <w:rsid w:val="00FD159E"/>
    <w:rsid w:val="00FD2F10"/>
    <w:rsid w:val="00FD5F46"/>
    <w:rsid w:val="00FD6B5D"/>
    <w:rsid w:val="00FD78C0"/>
    <w:rsid w:val="00FD7A16"/>
    <w:rsid w:val="00FE1217"/>
    <w:rsid w:val="00FE13EB"/>
    <w:rsid w:val="00FE2366"/>
    <w:rsid w:val="00FE3138"/>
    <w:rsid w:val="00FE5338"/>
    <w:rsid w:val="00FE5343"/>
    <w:rsid w:val="00FE5FAE"/>
    <w:rsid w:val="00FE61F9"/>
    <w:rsid w:val="00FE626B"/>
    <w:rsid w:val="00FE7563"/>
    <w:rsid w:val="00FF09EF"/>
    <w:rsid w:val="00FF11B8"/>
    <w:rsid w:val="00FF1A62"/>
    <w:rsid w:val="00FF1C1B"/>
    <w:rsid w:val="00FF29B8"/>
    <w:rsid w:val="00FF510A"/>
    <w:rsid w:val="00FF5EB4"/>
    <w:rsid w:val="00FF6E5F"/>
    <w:rsid w:val="00FF75D7"/>
    <w:rsid w:val="00FF76F0"/>
    <w:rsid w:val="00FF77C1"/>
    <w:rsid w:val="46223A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E3D07"/>
  <w15:docId w15:val="{5497FBB2-996D-4D50-8033-CB444638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FC"/>
    <w:rPr>
      <w:rFonts w:eastAsiaTheme="minorEastAsia"/>
      <w:lang w:eastAsia="ko-KR"/>
    </w:rPr>
  </w:style>
  <w:style w:type="paragraph" w:styleId="Heading1">
    <w:name w:val="heading 1"/>
    <w:basedOn w:val="Normal"/>
    <w:next w:val="LineTeal"/>
    <w:link w:val="Heading1Char"/>
    <w:uiPriority w:val="9"/>
    <w:qFormat/>
    <w:rsid w:val="00F27180"/>
    <w:pPr>
      <w:numPr>
        <w:numId w:val="3"/>
      </w:numPr>
      <w:spacing w:before="240" w:after="240"/>
      <w:ind w:left="567" w:hanging="567"/>
      <w:outlineLvl w:val="0"/>
    </w:pPr>
    <w:rPr>
      <w:rFonts w:asciiTheme="majorHAnsi" w:hAnsiTheme="majorHAnsi"/>
      <w:color w:val="006272" w:themeColor="text2"/>
      <w:sz w:val="26"/>
      <w:szCs w:val="30"/>
    </w:rPr>
  </w:style>
  <w:style w:type="paragraph" w:styleId="Heading2">
    <w:name w:val="heading 2"/>
    <w:basedOn w:val="Normal"/>
    <w:next w:val="Numbered"/>
    <w:link w:val="Heading2Char"/>
    <w:uiPriority w:val="9"/>
    <w:unhideWhenUsed/>
    <w:qFormat/>
    <w:rsid w:val="00F27180"/>
    <w:pPr>
      <w:spacing w:before="360"/>
      <w:contextualSpacing/>
      <w:outlineLvl w:val="1"/>
    </w:pPr>
    <w:rPr>
      <w:rFonts w:asciiTheme="majorHAnsi" w:hAnsiTheme="majorHAnsi"/>
      <w:color w:val="006272" w:themeColor="text2"/>
      <w:sz w:val="24"/>
      <w:szCs w:val="26"/>
    </w:rPr>
  </w:style>
  <w:style w:type="paragraph" w:styleId="Heading3">
    <w:name w:val="heading 3"/>
    <w:basedOn w:val="Normal"/>
    <w:next w:val="Normal"/>
    <w:link w:val="Heading3Char"/>
    <w:uiPriority w:val="9"/>
    <w:unhideWhenUsed/>
    <w:qFormat/>
    <w:rsid w:val="00F27180"/>
    <w:pPr>
      <w:spacing w:before="360"/>
      <w:outlineLvl w:val="2"/>
    </w:pPr>
    <w:rPr>
      <w:rFonts w:asciiTheme="majorHAnsi" w:hAnsiTheme="majorHAnsi"/>
      <w:color w:val="006272" w:themeColor="text2"/>
    </w:rPr>
  </w:style>
  <w:style w:type="paragraph" w:styleId="Heading4">
    <w:name w:val="heading 4"/>
    <w:basedOn w:val="Normal"/>
    <w:next w:val="Normal"/>
    <w:link w:val="Heading4Char"/>
    <w:uiPriority w:val="9"/>
    <w:unhideWhenUsed/>
    <w:qFormat/>
    <w:rsid w:val="00F27180"/>
    <w:pPr>
      <w:keepNext/>
      <w:keepLines/>
      <w:spacing w:before="360"/>
      <w:outlineLvl w:val="3"/>
    </w:pPr>
    <w:rPr>
      <w:rFonts w:asciiTheme="majorHAnsi" w:eastAsiaTheme="majorEastAsia" w:hAnsiTheme="majorHAnsi" w:cstheme="majorBidi"/>
      <w:bCs/>
      <w:iCs/>
      <w:color w:val="006272" w:themeColor="text2"/>
      <w:sz w:val="20"/>
    </w:rPr>
  </w:style>
  <w:style w:type="paragraph" w:styleId="Heading5">
    <w:name w:val="heading 5"/>
    <w:basedOn w:val="Normal"/>
    <w:next w:val="Normal"/>
    <w:link w:val="Heading5Char"/>
    <w:uiPriority w:val="9"/>
    <w:unhideWhenUsed/>
    <w:rsid w:val="00AE0E04"/>
    <w:pPr>
      <w:keepNext/>
      <w:keepLines/>
      <w:spacing w:before="40" w:after="0"/>
      <w:outlineLvl w:val="4"/>
    </w:pPr>
    <w:rPr>
      <w:rFonts w:asciiTheme="majorHAnsi" w:eastAsiaTheme="majorEastAsia" w:hAnsiTheme="majorHAnsi" w:cstheme="majorBidi"/>
      <w:color w:val="71A1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180"/>
    <w:rPr>
      <w:rFonts w:asciiTheme="majorHAnsi" w:eastAsiaTheme="minorEastAsia" w:hAnsiTheme="majorHAnsi"/>
      <w:color w:val="006272" w:themeColor="text2"/>
      <w:sz w:val="26"/>
      <w:szCs w:val="30"/>
      <w:lang w:eastAsia="ko-KR"/>
    </w:rPr>
  </w:style>
  <w:style w:type="character" w:customStyle="1" w:styleId="Heading2Char">
    <w:name w:val="Heading 2 Char"/>
    <w:basedOn w:val="DefaultParagraphFont"/>
    <w:link w:val="Heading2"/>
    <w:uiPriority w:val="9"/>
    <w:rsid w:val="00F27180"/>
    <w:rPr>
      <w:rFonts w:asciiTheme="majorHAnsi" w:eastAsiaTheme="minorEastAsia" w:hAnsiTheme="majorHAnsi"/>
      <w:color w:val="006272" w:themeColor="text2"/>
      <w:sz w:val="24"/>
      <w:szCs w:val="26"/>
      <w:lang w:eastAsia="ko-KR"/>
    </w:rPr>
  </w:style>
  <w:style w:type="character" w:customStyle="1" w:styleId="Heading3Char">
    <w:name w:val="Heading 3 Char"/>
    <w:basedOn w:val="DefaultParagraphFont"/>
    <w:link w:val="Heading3"/>
    <w:uiPriority w:val="9"/>
    <w:rsid w:val="00F27180"/>
    <w:rPr>
      <w:rFonts w:asciiTheme="majorHAnsi" w:eastAsiaTheme="minorEastAsia" w:hAnsiTheme="majorHAnsi"/>
      <w:color w:val="006272" w:themeColor="text2"/>
      <w:lang w:eastAsia="ko-KR"/>
    </w:rPr>
  </w:style>
  <w:style w:type="character" w:customStyle="1" w:styleId="Heading4Char">
    <w:name w:val="Heading 4 Char"/>
    <w:basedOn w:val="DefaultParagraphFont"/>
    <w:link w:val="Heading4"/>
    <w:uiPriority w:val="9"/>
    <w:rsid w:val="00F27180"/>
    <w:rPr>
      <w:rFonts w:asciiTheme="majorHAnsi" w:eastAsiaTheme="majorEastAsia" w:hAnsiTheme="majorHAnsi" w:cstheme="majorBidi"/>
      <w:bCs/>
      <w:iCs/>
      <w:color w:val="006272" w:themeColor="text2"/>
      <w:sz w:val="20"/>
      <w:lang w:eastAsia="ko-KR"/>
    </w:rPr>
  </w:style>
  <w:style w:type="paragraph" w:customStyle="1" w:styleId="Numbered">
    <w:name w:val="Numbered"/>
    <w:basedOn w:val="Normal"/>
    <w:link w:val="NumberedChar"/>
    <w:qFormat/>
    <w:rsid w:val="008C2542"/>
    <w:pPr>
      <w:numPr>
        <w:numId w:val="1"/>
      </w:numPr>
      <w:spacing w:before="200"/>
    </w:pPr>
  </w:style>
  <w:style w:type="character" w:customStyle="1" w:styleId="NumberedChar">
    <w:name w:val="Numbered Char"/>
    <w:basedOn w:val="DefaultParagraphFont"/>
    <w:link w:val="Numbered"/>
    <w:rsid w:val="008C2542"/>
    <w:rPr>
      <w:rFonts w:eastAsiaTheme="minorEastAsia"/>
      <w:lang w:eastAsia="ko-KR"/>
    </w:rPr>
  </w:style>
  <w:style w:type="table" w:styleId="TableGrid">
    <w:name w:val="Table Grid"/>
    <w:basedOn w:val="TableNormal"/>
    <w:uiPriority w:val="39"/>
    <w:rsid w:val="00E8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05630"/>
    <w:pPr>
      <w:tabs>
        <w:tab w:val="left" w:pos="454"/>
        <w:tab w:val="right" w:leader="dot" w:pos="9060"/>
      </w:tabs>
      <w:spacing w:after="60"/>
    </w:pPr>
    <w:rPr>
      <w:b/>
    </w:rPr>
  </w:style>
  <w:style w:type="paragraph" w:styleId="TOC2">
    <w:name w:val="toc 2"/>
    <w:basedOn w:val="Normal"/>
    <w:next w:val="Normal"/>
    <w:autoRedefine/>
    <w:uiPriority w:val="39"/>
    <w:unhideWhenUsed/>
    <w:rsid w:val="00AC78EE"/>
    <w:pPr>
      <w:tabs>
        <w:tab w:val="right" w:leader="dot" w:pos="9060"/>
      </w:tabs>
      <w:spacing w:after="100"/>
      <w:ind w:left="454"/>
    </w:pPr>
  </w:style>
  <w:style w:type="paragraph" w:customStyle="1" w:styleId="LineTeal">
    <w:name w:val="Line Teal"/>
    <w:next w:val="Normal"/>
    <w:uiPriority w:val="11"/>
    <w:rsid w:val="00F27180"/>
    <w:pPr>
      <w:widowControl w:val="0"/>
      <w:pBdr>
        <w:bottom w:val="single" w:sz="8" w:space="1" w:color="006272"/>
      </w:pBdr>
      <w:spacing w:before="360" w:after="480" w:line="20" w:lineRule="exact"/>
      <w:ind w:right="6237"/>
    </w:pPr>
    <w:rPr>
      <w:rFonts w:eastAsia="Times New Roman"/>
      <w:color w:val="006272"/>
      <w:lang w:eastAsia="en-NZ"/>
    </w:rPr>
  </w:style>
  <w:style w:type="character" w:styleId="Hyperlink">
    <w:name w:val="Hyperlink"/>
    <w:basedOn w:val="DefaultParagraphFont"/>
    <w:uiPriority w:val="99"/>
    <w:unhideWhenUsed/>
    <w:rsid w:val="00E803F5"/>
    <w:rPr>
      <w:rFonts w:ascii="Calibri" w:hAnsi="Calibri"/>
      <w:b/>
      <w:i/>
      <w:color w:val="006272"/>
      <w:u w:val="single"/>
    </w:rPr>
  </w:style>
  <w:style w:type="paragraph" w:customStyle="1" w:styleId="Question">
    <w:name w:val="Question"/>
    <w:basedOn w:val="Normal"/>
    <w:rsid w:val="00E803F5"/>
    <w:pPr>
      <w:spacing w:before="120" w:after="120"/>
    </w:pPr>
    <w:rPr>
      <w:rFonts w:eastAsiaTheme="minorHAnsi"/>
      <w:lang w:eastAsia="en-US"/>
    </w:rPr>
  </w:style>
  <w:style w:type="paragraph" w:customStyle="1" w:styleId="Bullets">
    <w:name w:val="Bullets"/>
    <w:basedOn w:val="Normal"/>
    <w:link w:val="BulletsChar"/>
    <w:uiPriority w:val="99"/>
    <w:qFormat/>
    <w:rsid w:val="003508FC"/>
    <w:pPr>
      <w:numPr>
        <w:numId w:val="5"/>
      </w:numPr>
      <w:contextualSpacing/>
    </w:pPr>
  </w:style>
  <w:style w:type="paragraph" w:customStyle="1" w:styleId="Questionnumber">
    <w:name w:val="Question number"/>
    <w:basedOn w:val="Normal"/>
    <w:link w:val="QuestionnumberChar"/>
    <w:rsid w:val="00354F6D"/>
    <w:pPr>
      <w:numPr>
        <w:numId w:val="2"/>
      </w:numPr>
      <w:ind w:left="0" w:firstLine="0"/>
      <w:jc w:val="center"/>
    </w:pPr>
    <w:rPr>
      <w:rFonts w:eastAsiaTheme="minorHAnsi"/>
      <w:b/>
      <w:color w:val="FFFFFF" w:themeColor="background1"/>
      <w:lang w:eastAsia="en-US"/>
    </w:rPr>
  </w:style>
  <w:style w:type="table" w:styleId="LightList-Accent1">
    <w:name w:val="Light List Accent 1"/>
    <w:basedOn w:val="TableNormal"/>
    <w:uiPriority w:val="61"/>
    <w:rsid w:val="00E803F5"/>
    <w:pPr>
      <w:spacing w:after="0" w:line="240" w:lineRule="auto"/>
    </w:pPr>
    <w:rPr>
      <w:rFonts w:eastAsiaTheme="minorEastAsia"/>
      <w:lang w:eastAsia="ko-KR"/>
    </w:rPr>
    <w:tblPr>
      <w:tblStyleRowBandSize w:val="1"/>
      <w:tblStyleColBandSize w:val="1"/>
      <w:tblBorders>
        <w:top w:val="single" w:sz="8" w:space="0" w:color="97D700" w:themeColor="accent1"/>
        <w:left w:val="single" w:sz="8" w:space="0" w:color="97D700" w:themeColor="accent1"/>
        <w:bottom w:val="single" w:sz="8" w:space="0" w:color="97D700" w:themeColor="accent1"/>
        <w:right w:val="single" w:sz="8" w:space="0" w:color="97D700" w:themeColor="accent1"/>
      </w:tblBorders>
    </w:tblPr>
    <w:tblStylePr w:type="firstRow">
      <w:pPr>
        <w:spacing w:before="0" w:after="0" w:line="240" w:lineRule="auto"/>
      </w:pPr>
      <w:rPr>
        <w:b/>
        <w:bCs/>
        <w:color w:val="FFFFFF" w:themeColor="background1"/>
      </w:rPr>
      <w:tblPr/>
      <w:tcPr>
        <w:shd w:val="clear" w:color="auto" w:fill="97D700" w:themeFill="accent1"/>
      </w:tcPr>
    </w:tblStylePr>
    <w:tblStylePr w:type="lastRow">
      <w:pPr>
        <w:spacing w:before="0" w:after="0" w:line="240" w:lineRule="auto"/>
      </w:pPr>
      <w:rPr>
        <w:b/>
        <w:bCs/>
      </w:rPr>
      <w:tblPr/>
      <w:tcPr>
        <w:tcBorders>
          <w:top w:val="double" w:sz="6" w:space="0" w:color="97D700" w:themeColor="accent1"/>
          <w:left w:val="single" w:sz="8" w:space="0" w:color="97D700" w:themeColor="accent1"/>
          <w:bottom w:val="single" w:sz="8" w:space="0" w:color="97D700" w:themeColor="accent1"/>
          <w:right w:val="single" w:sz="8" w:space="0" w:color="97D700" w:themeColor="accent1"/>
        </w:tcBorders>
      </w:tcPr>
    </w:tblStylePr>
    <w:tblStylePr w:type="firstCol">
      <w:rPr>
        <w:b/>
        <w:bCs/>
      </w:rPr>
    </w:tblStylePr>
    <w:tblStylePr w:type="lastCol">
      <w:rPr>
        <w:b/>
        <w:bCs/>
      </w:rPr>
    </w:tblStylePr>
    <w:tblStylePr w:type="band1Vert">
      <w:tblPr/>
      <w:tcPr>
        <w:tcBorders>
          <w:top w:val="single" w:sz="8" w:space="0" w:color="97D700" w:themeColor="accent1"/>
          <w:left w:val="single" w:sz="8" w:space="0" w:color="97D700" w:themeColor="accent1"/>
          <w:bottom w:val="single" w:sz="8" w:space="0" w:color="97D700" w:themeColor="accent1"/>
          <w:right w:val="single" w:sz="8" w:space="0" w:color="97D700" w:themeColor="accent1"/>
        </w:tcBorders>
      </w:tcPr>
    </w:tblStylePr>
    <w:tblStylePr w:type="band1Horz">
      <w:tblPr/>
      <w:tcPr>
        <w:tcBorders>
          <w:top w:val="single" w:sz="8" w:space="0" w:color="97D700" w:themeColor="accent1"/>
          <w:left w:val="single" w:sz="8" w:space="0" w:color="97D700" w:themeColor="accent1"/>
          <w:bottom w:val="single" w:sz="8" w:space="0" w:color="97D700" w:themeColor="accent1"/>
          <w:right w:val="single" w:sz="8" w:space="0" w:color="97D700" w:themeColor="accent1"/>
        </w:tcBorders>
      </w:tcPr>
    </w:tblStylePr>
  </w:style>
  <w:style w:type="character" w:customStyle="1" w:styleId="QuestionnumberChar">
    <w:name w:val="Question number Char"/>
    <w:basedOn w:val="DefaultParagraphFont"/>
    <w:link w:val="Questionnumber"/>
    <w:rsid w:val="00354F6D"/>
    <w:rPr>
      <w:b/>
      <w:color w:val="FFFFFF" w:themeColor="background1"/>
    </w:rPr>
  </w:style>
  <w:style w:type="character" w:styleId="PlaceholderText">
    <w:name w:val="Placeholder Text"/>
    <w:basedOn w:val="DefaultParagraphFont"/>
    <w:uiPriority w:val="99"/>
    <w:semiHidden/>
    <w:rsid w:val="00E803F5"/>
    <w:rPr>
      <w:color w:val="808080"/>
    </w:rPr>
  </w:style>
  <w:style w:type="paragraph" w:styleId="BalloonText">
    <w:name w:val="Balloon Text"/>
    <w:basedOn w:val="Normal"/>
    <w:link w:val="BalloonTextChar"/>
    <w:uiPriority w:val="99"/>
    <w:semiHidden/>
    <w:unhideWhenUsed/>
    <w:rsid w:val="00E803F5"/>
    <w:rPr>
      <w:rFonts w:ascii="Tahoma" w:hAnsi="Tahoma" w:cs="Tahoma"/>
      <w:sz w:val="16"/>
      <w:szCs w:val="16"/>
    </w:rPr>
  </w:style>
  <w:style w:type="character" w:customStyle="1" w:styleId="BalloonTextChar">
    <w:name w:val="Balloon Text Char"/>
    <w:basedOn w:val="DefaultParagraphFont"/>
    <w:link w:val="BalloonText"/>
    <w:uiPriority w:val="99"/>
    <w:semiHidden/>
    <w:rsid w:val="00E803F5"/>
    <w:rPr>
      <w:rFonts w:ascii="Tahoma" w:eastAsiaTheme="minorEastAsia" w:hAnsi="Tahoma" w:cs="Tahoma"/>
      <w:sz w:val="16"/>
      <w:szCs w:val="16"/>
      <w:lang w:eastAsia="ko-KR"/>
    </w:rPr>
  </w:style>
  <w:style w:type="paragraph" w:styleId="Quote">
    <w:name w:val="Quote"/>
    <w:basedOn w:val="Normal"/>
    <w:next w:val="Normal"/>
    <w:link w:val="QuoteChar"/>
    <w:uiPriority w:val="29"/>
    <w:qFormat/>
    <w:rsid w:val="00E803F5"/>
    <w:pPr>
      <w:ind w:left="924"/>
    </w:pPr>
    <w:rPr>
      <w:i/>
      <w:iCs/>
      <w:color w:val="000000" w:themeColor="text1"/>
    </w:rPr>
  </w:style>
  <w:style w:type="character" w:customStyle="1" w:styleId="QuoteChar">
    <w:name w:val="Quote Char"/>
    <w:basedOn w:val="DefaultParagraphFont"/>
    <w:link w:val="Quote"/>
    <w:uiPriority w:val="29"/>
    <w:rsid w:val="00E803F5"/>
    <w:rPr>
      <w:rFonts w:eastAsiaTheme="minorEastAsia"/>
      <w:i/>
      <w:iCs/>
      <w:color w:val="000000" w:themeColor="text1"/>
      <w:lang w:eastAsia="ko-KR"/>
    </w:rPr>
  </w:style>
  <w:style w:type="paragraph" w:customStyle="1" w:styleId="BulletsIndented">
    <w:name w:val="Bullets Indented"/>
    <w:basedOn w:val="Normal"/>
    <w:link w:val="BulletsIndentedChar"/>
    <w:uiPriority w:val="19"/>
    <w:qFormat/>
    <w:rsid w:val="000D3B6D"/>
    <w:pPr>
      <w:numPr>
        <w:numId w:val="4"/>
      </w:numPr>
    </w:pPr>
  </w:style>
  <w:style w:type="character" w:customStyle="1" w:styleId="BulletsChar">
    <w:name w:val="Bullets Char"/>
    <w:basedOn w:val="DefaultParagraphFont"/>
    <w:link w:val="Bullets"/>
    <w:uiPriority w:val="99"/>
    <w:rsid w:val="003508FC"/>
    <w:rPr>
      <w:rFonts w:eastAsiaTheme="minorEastAsia"/>
      <w:lang w:eastAsia="ko-KR"/>
    </w:rPr>
  </w:style>
  <w:style w:type="character" w:customStyle="1" w:styleId="BulletsIndentedChar">
    <w:name w:val="Bullets Indented Char"/>
    <w:basedOn w:val="DefaultParagraphFont"/>
    <w:link w:val="BulletsIndented"/>
    <w:uiPriority w:val="19"/>
    <w:rsid w:val="00DE1886"/>
    <w:rPr>
      <w:rFonts w:eastAsiaTheme="minorEastAsia"/>
      <w:lang w:eastAsia="ko-KR"/>
    </w:rPr>
  </w:style>
  <w:style w:type="paragraph" w:customStyle="1" w:styleId="Heading1-Unnumbered">
    <w:name w:val="Heading 1 - Unnumbered"/>
    <w:basedOn w:val="Heading1"/>
    <w:link w:val="Heading1-UnnumberedChar"/>
    <w:uiPriority w:val="29"/>
    <w:qFormat/>
    <w:rsid w:val="00C335E0"/>
    <w:pPr>
      <w:numPr>
        <w:numId w:val="0"/>
      </w:numPr>
    </w:pPr>
  </w:style>
  <w:style w:type="character" w:customStyle="1" w:styleId="Heading1-UnnumberedChar">
    <w:name w:val="Heading 1 - Unnumbered Char"/>
    <w:basedOn w:val="Heading1Char"/>
    <w:link w:val="Heading1-Unnumbered"/>
    <w:uiPriority w:val="29"/>
    <w:rsid w:val="00DE1886"/>
    <w:rPr>
      <w:rFonts w:asciiTheme="majorHAnsi" w:eastAsiaTheme="minorEastAsia" w:hAnsiTheme="majorHAnsi"/>
      <w:color w:val="006272" w:themeColor="text2"/>
      <w:sz w:val="60"/>
      <w:szCs w:val="30"/>
      <w:lang w:eastAsia="ko-KR"/>
    </w:rPr>
  </w:style>
  <w:style w:type="paragraph" w:styleId="Header">
    <w:name w:val="header"/>
    <w:basedOn w:val="Normal"/>
    <w:link w:val="HeaderChar"/>
    <w:uiPriority w:val="99"/>
    <w:unhideWhenUsed/>
    <w:rsid w:val="004F0844"/>
    <w:pPr>
      <w:tabs>
        <w:tab w:val="center" w:pos="4513"/>
        <w:tab w:val="right" w:pos="9026"/>
      </w:tabs>
    </w:pPr>
  </w:style>
  <w:style w:type="character" w:customStyle="1" w:styleId="HeaderChar">
    <w:name w:val="Header Char"/>
    <w:basedOn w:val="DefaultParagraphFont"/>
    <w:link w:val="Header"/>
    <w:uiPriority w:val="99"/>
    <w:rsid w:val="004F0844"/>
    <w:rPr>
      <w:rFonts w:eastAsiaTheme="minorEastAsia"/>
      <w:lang w:eastAsia="ko-KR"/>
    </w:rPr>
  </w:style>
  <w:style w:type="paragraph" w:styleId="Footer">
    <w:name w:val="footer"/>
    <w:basedOn w:val="Normal"/>
    <w:link w:val="FooterChar"/>
    <w:uiPriority w:val="99"/>
    <w:unhideWhenUsed/>
    <w:rsid w:val="004F0844"/>
    <w:pPr>
      <w:tabs>
        <w:tab w:val="center" w:pos="4513"/>
        <w:tab w:val="right" w:pos="9026"/>
      </w:tabs>
    </w:pPr>
  </w:style>
  <w:style w:type="character" w:customStyle="1" w:styleId="FooterChar">
    <w:name w:val="Footer Char"/>
    <w:basedOn w:val="DefaultParagraphFont"/>
    <w:link w:val="Footer"/>
    <w:uiPriority w:val="99"/>
    <w:rsid w:val="004F0844"/>
    <w:rPr>
      <w:rFonts w:eastAsiaTheme="minorEastAsia"/>
      <w:lang w:eastAsia="ko-KR"/>
    </w:rPr>
  </w:style>
  <w:style w:type="paragraph" w:styleId="Title">
    <w:name w:val="Title"/>
    <w:basedOn w:val="Normal"/>
    <w:next w:val="Normal"/>
    <w:link w:val="TitleChar"/>
    <w:uiPriority w:val="10"/>
    <w:rsid w:val="000B3DAE"/>
    <w:pPr>
      <w:spacing w:before="240" w:after="240"/>
    </w:pPr>
    <w:rPr>
      <w:rFonts w:asciiTheme="majorHAnsi" w:hAnsiTheme="majorHAnsi"/>
      <w:color w:val="006272" w:themeColor="text2"/>
      <w:sz w:val="60"/>
    </w:rPr>
  </w:style>
  <w:style w:type="character" w:customStyle="1" w:styleId="TitleChar">
    <w:name w:val="Title Char"/>
    <w:basedOn w:val="DefaultParagraphFont"/>
    <w:link w:val="Title"/>
    <w:uiPriority w:val="10"/>
    <w:rsid w:val="000B3DAE"/>
    <w:rPr>
      <w:rFonts w:asciiTheme="majorHAnsi" w:eastAsiaTheme="minorEastAsia" w:hAnsiTheme="majorHAnsi"/>
      <w:color w:val="006272" w:themeColor="text2"/>
      <w:sz w:val="60"/>
      <w:lang w:eastAsia="ko-KR"/>
    </w:rPr>
  </w:style>
  <w:style w:type="paragraph" w:styleId="Subtitle">
    <w:name w:val="Subtitle"/>
    <w:basedOn w:val="Normal"/>
    <w:next w:val="Normal"/>
    <w:link w:val="SubtitleChar"/>
    <w:uiPriority w:val="11"/>
    <w:rsid w:val="000B3DAE"/>
    <w:pPr>
      <w:spacing w:before="240" w:after="240"/>
    </w:pPr>
    <w:rPr>
      <w:rFonts w:asciiTheme="majorHAnsi" w:hAnsiTheme="majorHAnsi"/>
      <w:color w:val="006272" w:themeColor="text2"/>
      <w:sz w:val="40"/>
    </w:rPr>
  </w:style>
  <w:style w:type="character" w:customStyle="1" w:styleId="SubtitleChar">
    <w:name w:val="Subtitle Char"/>
    <w:basedOn w:val="DefaultParagraphFont"/>
    <w:link w:val="Subtitle"/>
    <w:uiPriority w:val="11"/>
    <w:rsid w:val="000B3DAE"/>
    <w:rPr>
      <w:rFonts w:asciiTheme="majorHAnsi" w:eastAsiaTheme="minorEastAsia" w:hAnsiTheme="majorHAnsi"/>
      <w:color w:val="006272" w:themeColor="text2"/>
      <w:sz w:val="40"/>
      <w:lang w:eastAsia="ko-KR"/>
    </w:rPr>
  </w:style>
  <w:style w:type="paragraph" w:customStyle="1" w:styleId="Heading2-Hiddenfromcontents">
    <w:name w:val="Heading 2 - Hidden from contents"/>
    <w:basedOn w:val="Normal"/>
    <w:next w:val="Normal"/>
    <w:link w:val="Heading2-HiddenfromcontentsChar"/>
    <w:uiPriority w:val="29"/>
    <w:rsid w:val="008C16BD"/>
    <w:pPr>
      <w:spacing w:before="360"/>
    </w:pPr>
    <w:rPr>
      <w:rFonts w:asciiTheme="majorHAnsi" w:hAnsiTheme="majorHAnsi"/>
      <w:color w:val="006272" w:themeColor="text2"/>
      <w:sz w:val="40"/>
    </w:rPr>
  </w:style>
  <w:style w:type="paragraph" w:styleId="NoSpacing">
    <w:name w:val="No Spacing"/>
    <w:uiPriority w:val="1"/>
    <w:qFormat/>
    <w:rsid w:val="00354F6D"/>
    <w:pPr>
      <w:spacing w:after="0" w:line="240" w:lineRule="auto"/>
    </w:pPr>
    <w:rPr>
      <w:rFonts w:eastAsiaTheme="minorEastAsia"/>
      <w:lang w:eastAsia="ko-KR"/>
    </w:rPr>
  </w:style>
  <w:style w:type="character" w:customStyle="1" w:styleId="Heading2-HiddenfromcontentsChar">
    <w:name w:val="Heading 2 - Hidden from contents Char"/>
    <w:basedOn w:val="Heading2Char"/>
    <w:link w:val="Heading2-Hiddenfromcontents"/>
    <w:uiPriority w:val="29"/>
    <w:rsid w:val="00DE1886"/>
    <w:rPr>
      <w:rFonts w:asciiTheme="majorHAnsi" w:eastAsiaTheme="minorEastAsia" w:hAnsiTheme="majorHAnsi"/>
      <w:color w:val="006272" w:themeColor="text2"/>
      <w:sz w:val="40"/>
      <w:szCs w:val="26"/>
      <w:lang w:eastAsia="ko-KR"/>
    </w:rPr>
  </w:style>
  <w:style w:type="paragraph" w:styleId="FootnoteText">
    <w:name w:val="footnote text"/>
    <w:basedOn w:val="Normal"/>
    <w:link w:val="FootnoteTextChar"/>
    <w:unhideWhenUsed/>
    <w:rsid w:val="00271909"/>
    <w:pPr>
      <w:spacing w:after="0" w:line="240" w:lineRule="auto"/>
    </w:pPr>
    <w:rPr>
      <w:sz w:val="20"/>
      <w:szCs w:val="20"/>
    </w:rPr>
  </w:style>
  <w:style w:type="character" w:customStyle="1" w:styleId="FootnoteTextChar">
    <w:name w:val="Footnote Text Char"/>
    <w:basedOn w:val="DefaultParagraphFont"/>
    <w:link w:val="FootnoteText"/>
    <w:rsid w:val="00271909"/>
    <w:rPr>
      <w:rFonts w:eastAsiaTheme="minorEastAsia"/>
      <w:sz w:val="20"/>
      <w:szCs w:val="20"/>
      <w:lang w:eastAsia="ko-KR"/>
    </w:rPr>
  </w:style>
  <w:style w:type="character" w:styleId="FootnoteReference">
    <w:name w:val="footnote reference"/>
    <w:basedOn w:val="DefaultParagraphFont"/>
    <w:unhideWhenUsed/>
    <w:rsid w:val="00271909"/>
    <w:rPr>
      <w:vertAlign w:val="superscript"/>
    </w:rPr>
  </w:style>
  <w:style w:type="paragraph" w:customStyle="1" w:styleId="Questionbullet">
    <w:name w:val="Question bullet"/>
    <w:basedOn w:val="Bullets"/>
    <w:rsid w:val="00AA12B3"/>
    <w:pPr>
      <w:spacing w:before="200" w:after="240" w:line="240" w:lineRule="auto"/>
      <w:ind w:left="992" w:right="318" w:hanging="425"/>
    </w:pPr>
    <w:rPr>
      <w:rFonts w:eastAsia="Times New Roman" w:cs="Times New Roman"/>
      <w:szCs w:val="20"/>
    </w:rPr>
  </w:style>
  <w:style w:type="paragraph" w:customStyle="1" w:styleId="TableHeading1">
    <w:name w:val="Table Heading 1"/>
    <w:basedOn w:val="NoSpacing"/>
    <w:rsid w:val="00F27180"/>
    <w:pPr>
      <w:spacing w:before="60" w:after="60"/>
    </w:pPr>
    <w:rPr>
      <w:rFonts w:eastAsia="Times New Roman" w:cs="Times New Roman"/>
      <w:b/>
      <w:bCs/>
      <w:caps/>
      <w:spacing w:val="12"/>
      <w:szCs w:val="20"/>
    </w:rPr>
  </w:style>
  <w:style w:type="numbering" w:customStyle="1" w:styleId="Smalltabletext-bullets">
    <w:name w:val="Small table text - bullets"/>
    <w:basedOn w:val="NoList"/>
    <w:rsid w:val="00F27180"/>
    <w:pPr>
      <w:numPr>
        <w:numId w:val="6"/>
      </w:numPr>
    </w:pPr>
  </w:style>
  <w:style w:type="paragraph" w:customStyle="1" w:styleId="SmallTableText">
    <w:name w:val="Small Table Text"/>
    <w:basedOn w:val="NoSpacing"/>
    <w:rsid w:val="00F27180"/>
    <w:pPr>
      <w:spacing w:before="180"/>
      <w:contextualSpacing/>
    </w:pPr>
    <w:rPr>
      <w:sz w:val="18"/>
    </w:rPr>
  </w:style>
  <w:style w:type="paragraph" w:customStyle="1" w:styleId="TableHeading2">
    <w:name w:val="Table Heading 2"/>
    <w:basedOn w:val="TableHeading1"/>
    <w:qFormat/>
    <w:rsid w:val="00D90662"/>
    <w:rPr>
      <w:spacing w:val="10"/>
      <w:sz w:val="20"/>
    </w:rPr>
  </w:style>
  <w:style w:type="character" w:styleId="CommentReference">
    <w:name w:val="annotation reference"/>
    <w:basedOn w:val="DefaultParagraphFont"/>
    <w:uiPriority w:val="99"/>
    <w:semiHidden/>
    <w:unhideWhenUsed/>
    <w:rsid w:val="00613281"/>
    <w:rPr>
      <w:sz w:val="16"/>
      <w:szCs w:val="16"/>
    </w:rPr>
  </w:style>
  <w:style w:type="paragraph" w:styleId="CommentText">
    <w:name w:val="annotation text"/>
    <w:basedOn w:val="Normal"/>
    <w:link w:val="CommentTextChar"/>
    <w:uiPriority w:val="99"/>
    <w:unhideWhenUsed/>
    <w:rsid w:val="00613281"/>
    <w:pPr>
      <w:spacing w:line="240" w:lineRule="auto"/>
    </w:pPr>
    <w:rPr>
      <w:sz w:val="20"/>
      <w:szCs w:val="20"/>
    </w:rPr>
  </w:style>
  <w:style w:type="character" w:customStyle="1" w:styleId="CommentTextChar">
    <w:name w:val="Comment Text Char"/>
    <w:basedOn w:val="DefaultParagraphFont"/>
    <w:link w:val="CommentText"/>
    <w:uiPriority w:val="99"/>
    <w:rsid w:val="00613281"/>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613281"/>
    <w:rPr>
      <w:b/>
      <w:bCs/>
    </w:rPr>
  </w:style>
  <w:style w:type="character" w:customStyle="1" w:styleId="CommentSubjectChar">
    <w:name w:val="Comment Subject Char"/>
    <w:basedOn w:val="CommentTextChar"/>
    <w:link w:val="CommentSubject"/>
    <w:uiPriority w:val="99"/>
    <w:semiHidden/>
    <w:rsid w:val="00613281"/>
    <w:rPr>
      <w:rFonts w:eastAsiaTheme="minorEastAsia"/>
      <w:b/>
      <w:bCs/>
      <w:sz w:val="20"/>
      <w:szCs w:val="20"/>
      <w:lang w:eastAsia="ko-KR"/>
    </w:rPr>
  </w:style>
  <w:style w:type="paragraph" w:customStyle="1" w:styleId="BodyText-Numbered">
    <w:name w:val="Body Text - Numbered"/>
    <w:basedOn w:val="BodyText"/>
    <w:link w:val="BodyText-NumberedChar"/>
    <w:qFormat/>
    <w:rsid w:val="00490CCB"/>
    <w:pPr>
      <w:widowControl w:val="0"/>
      <w:numPr>
        <w:numId w:val="7"/>
      </w:numPr>
      <w:spacing w:before="60" w:after="220" w:line="240" w:lineRule="auto"/>
    </w:pPr>
    <w:rPr>
      <w:rFonts w:ascii="Arial" w:eastAsia="Times New Roman" w:hAnsi="Arial" w:cs="Arial"/>
      <w:szCs w:val="20"/>
      <w:lang w:val="en-GB" w:eastAsia="en-GB"/>
    </w:rPr>
  </w:style>
  <w:style w:type="character" w:customStyle="1" w:styleId="BodyText-NumberedChar">
    <w:name w:val="Body Text - Numbered Char"/>
    <w:basedOn w:val="BodyTextChar"/>
    <w:link w:val="BodyText-Numbered"/>
    <w:rsid w:val="00490CCB"/>
    <w:rPr>
      <w:rFonts w:ascii="Arial" w:eastAsia="Times New Roman" w:hAnsi="Arial" w:cs="Arial"/>
      <w:szCs w:val="20"/>
      <w:lang w:val="en-GB" w:eastAsia="en-GB"/>
    </w:rPr>
  </w:style>
  <w:style w:type="paragraph" w:styleId="BodyText">
    <w:name w:val="Body Text"/>
    <w:basedOn w:val="Normal"/>
    <w:link w:val="BodyTextChar"/>
    <w:semiHidden/>
    <w:unhideWhenUsed/>
    <w:qFormat/>
    <w:rsid w:val="00490CCB"/>
    <w:pPr>
      <w:spacing w:after="120"/>
    </w:pPr>
  </w:style>
  <w:style w:type="character" w:customStyle="1" w:styleId="BodyTextChar">
    <w:name w:val="Body Text Char"/>
    <w:basedOn w:val="DefaultParagraphFont"/>
    <w:link w:val="BodyText"/>
    <w:semiHidden/>
    <w:rsid w:val="00490CCB"/>
    <w:rPr>
      <w:rFonts w:eastAsiaTheme="minorEastAsia"/>
      <w:lang w:eastAsia="ko-KR"/>
    </w:rPr>
  </w:style>
  <w:style w:type="character" w:styleId="UnresolvedMention">
    <w:name w:val="Unresolved Mention"/>
    <w:basedOn w:val="DefaultParagraphFont"/>
    <w:uiPriority w:val="99"/>
    <w:semiHidden/>
    <w:unhideWhenUsed/>
    <w:rsid w:val="002753FB"/>
    <w:rPr>
      <w:color w:val="605E5C"/>
      <w:shd w:val="clear" w:color="auto" w:fill="E1DFDD"/>
    </w:rPr>
  </w:style>
  <w:style w:type="paragraph" w:styleId="ListParagraph">
    <w:name w:val="List Paragraph"/>
    <w:basedOn w:val="Normal"/>
    <w:uiPriority w:val="34"/>
    <w:qFormat/>
    <w:rsid w:val="00A46B76"/>
    <w:pPr>
      <w:spacing w:after="160" w:line="259" w:lineRule="auto"/>
      <w:ind w:left="720"/>
      <w:contextualSpacing/>
    </w:pPr>
    <w:rPr>
      <w:rFonts w:eastAsiaTheme="minorHAnsi"/>
      <w:lang w:eastAsia="en-US"/>
    </w:rPr>
  </w:style>
  <w:style w:type="table" w:customStyle="1" w:styleId="TableGrid1">
    <w:name w:val="Table Grid1"/>
    <w:basedOn w:val="TableNormal"/>
    <w:next w:val="TableGrid"/>
    <w:uiPriority w:val="59"/>
    <w:rsid w:val="00B4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635D"/>
    <w:rPr>
      <w:color w:val="97D700" w:themeColor="followedHyperlink"/>
      <w:u w:val="single"/>
    </w:rPr>
  </w:style>
  <w:style w:type="paragraph" w:customStyle="1" w:styleId="paragraph">
    <w:name w:val="paragraph"/>
    <w:basedOn w:val="Normal"/>
    <w:rsid w:val="0095593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ragraphsub">
    <w:name w:val="paragraphsub"/>
    <w:basedOn w:val="Normal"/>
    <w:rsid w:val="0095593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ubsection">
    <w:name w:val="subsection"/>
    <w:basedOn w:val="Normal"/>
    <w:rsid w:val="00C10C9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notetext">
    <w:name w:val="notetext"/>
    <w:basedOn w:val="Normal"/>
    <w:rsid w:val="007B6DA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5Char">
    <w:name w:val="Heading 5 Char"/>
    <w:basedOn w:val="DefaultParagraphFont"/>
    <w:link w:val="Heading5"/>
    <w:uiPriority w:val="9"/>
    <w:rsid w:val="00AE0E04"/>
    <w:rPr>
      <w:rFonts w:asciiTheme="majorHAnsi" w:eastAsiaTheme="majorEastAsia" w:hAnsiTheme="majorHAnsi" w:cstheme="majorBidi"/>
      <w:color w:val="71A100" w:themeColor="accent1" w:themeShade="BF"/>
      <w:lang w:eastAsia="ko-KR"/>
    </w:rPr>
  </w:style>
  <w:style w:type="character" w:customStyle="1" w:styleId="label">
    <w:name w:val="label"/>
    <w:basedOn w:val="DefaultParagraphFont"/>
    <w:rsid w:val="00AE0E04"/>
  </w:style>
  <w:style w:type="paragraph" w:customStyle="1" w:styleId="text">
    <w:name w:val="text"/>
    <w:basedOn w:val="Normal"/>
    <w:rsid w:val="00AE0E0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rsid w:val="00062585"/>
    <w:pPr>
      <w:spacing w:before="100" w:beforeAutospacing="1" w:after="100" w:afterAutospacing="1" w:line="240" w:lineRule="auto"/>
    </w:pPr>
    <w:rPr>
      <w:rFonts w:ascii="Calibri" w:eastAsiaTheme="minorHAnsi" w:hAnsi="Calibri" w:cs="Calibri"/>
      <w:lang w:eastAsia="en-NZ"/>
    </w:rPr>
  </w:style>
  <w:style w:type="paragraph" w:styleId="Revision">
    <w:name w:val="Revision"/>
    <w:hidden/>
    <w:uiPriority w:val="99"/>
    <w:semiHidden/>
    <w:rsid w:val="00062585"/>
    <w:pPr>
      <w:spacing w:after="0" w:line="240" w:lineRule="auto"/>
    </w:pPr>
    <w:rPr>
      <w:rFonts w:eastAsiaTheme="minorEastAsia"/>
      <w:lang w:eastAsia="ko-KR"/>
    </w:rPr>
  </w:style>
  <w:style w:type="table" w:customStyle="1" w:styleId="TableGrid2">
    <w:name w:val="Table Grid2"/>
    <w:basedOn w:val="TableNormal"/>
    <w:next w:val="TableGrid"/>
    <w:uiPriority w:val="39"/>
    <w:rsid w:val="00BC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78EE"/>
    <w:pPr>
      <w:keepNext/>
      <w:keepLines/>
      <w:numPr>
        <w:numId w:val="0"/>
      </w:numPr>
      <w:spacing w:after="0" w:line="259" w:lineRule="auto"/>
      <w:outlineLvl w:val="9"/>
    </w:pPr>
    <w:rPr>
      <w:rFonts w:eastAsiaTheme="majorEastAsia" w:cstheme="majorBidi"/>
      <w:color w:val="71A100" w:themeColor="accent1" w:themeShade="BF"/>
      <w:sz w:val="32"/>
      <w:szCs w:val="32"/>
      <w:lang w:val="en-US" w:eastAsia="en-US"/>
    </w:rPr>
  </w:style>
  <w:style w:type="paragraph" w:styleId="TOC3">
    <w:name w:val="toc 3"/>
    <w:basedOn w:val="Normal"/>
    <w:next w:val="Normal"/>
    <w:autoRedefine/>
    <w:uiPriority w:val="39"/>
    <w:unhideWhenUsed/>
    <w:rsid w:val="00AC78EE"/>
    <w:pPr>
      <w:spacing w:after="100"/>
      <w:ind w:left="440"/>
    </w:pPr>
  </w:style>
  <w:style w:type="character" w:customStyle="1" w:styleId="legds">
    <w:name w:val="legds"/>
    <w:basedOn w:val="DefaultParagraphFont"/>
    <w:rsid w:val="00BC7D2A"/>
  </w:style>
  <w:style w:type="paragraph" w:customStyle="1" w:styleId="legclearfix">
    <w:name w:val="legclearfix"/>
    <w:basedOn w:val="Normal"/>
    <w:rsid w:val="00BC7D2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423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597">
      <w:bodyDiv w:val="1"/>
      <w:marLeft w:val="0"/>
      <w:marRight w:val="0"/>
      <w:marTop w:val="0"/>
      <w:marBottom w:val="0"/>
      <w:divBdr>
        <w:top w:val="none" w:sz="0" w:space="0" w:color="auto"/>
        <w:left w:val="none" w:sz="0" w:space="0" w:color="auto"/>
        <w:bottom w:val="none" w:sz="0" w:space="0" w:color="auto"/>
        <w:right w:val="none" w:sz="0" w:space="0" w:color="auto"/>
      </w:divBdr>
    </w:div>
    <w:div w:id="27536222">
      <w:bodyDiv w:val="1"/>
      <w:marLeft w:val="0"/>
      <w:marRight w:val="0"/>
      <w:marTop w:val="0"/>
      <w:marBottom w:val="0"/>
      <w:divBdr>
        <w:top w:val="none" w:sz="0" w:space="0" w:color="auto"/>
        <w:left w:val="none" w:sz="0" w:space="0" w:color="auto"/>
        <w:bottom w:val="none" w:sz="0" w:space="0" w:color="auto"/>
        <w:right w:val="none" w:sz="0" w:space="0" w:color="auto"/>
      </w:divBdr>
      <w:divsChild>
        <w:div w:id="597760529">
          <w:marLeft w:val="547"/>
          <w:marRight w:val="0"/>
          <w:marTop w:val="0"/>
          <w:marBottom w:val="0"/>
          <w:divBdr>
            <w:top w:val="none" w:sz="0" w:space="0" w:color="auto"/>
            <w:left w:val="none" w:sz="0" w:space="0" w:color="auto"/>
            <w:bottom w:val="none" w:sz="0" w:space="0" w:color="auto"/>
            <w:right w:val="none" w:sz="0" w:space="0" w:color="auto"/>
          </w:divBdr>
        </w:div>
      </w:divsChild>
    </w:div>
    <w:div w:id="94520548">
      <w:bodyDiv w:val="1"/>
      <w:marLeft w:val="0"/>
      <w:marRight w:val="0"/>
      <w:marTop w:val="0"/>
      <w:marBottom w:val="0"/>
      <w:divBdr>
        <w:top w:val="none" w:sz="0" w:space="0" w:color="auto"/>
        <w:left w:val="none" w:sz="0" w:space="0" w:color="auto"/>
        <w:bottom w:val="none" w:sz="0" w:space="0" w:color="auto"/>
        <w:right w:val="none" w:sz="0" w:space="0" w:color="auto"/>
      </w:divBdr>
    </w:div>
    <w:div w:id="96340122">
      <w:bodyDiv w:val="1"/>
      <w:marLeft w:val="0"/>
      <w:marRight w:val="0"/>
      <w:marTop w:val="0"/>
      <w:marBottom w:val="0"/>
      <w:divBdr>
        <w:top w:val="none" w:sz="0" w:space="0" w:color="auto"/>
        <w:left w:val="none" w:sz="0" w:space="0" w:color="auto"/>
        <w:bottom w:val="none" w:sz="0" w:space="0" w:color="auto"/>
        <w:right w:val="none" w:sz="0" w:space="0" w:color="auto"/>
      </w:divBdr>
    </w:div>
    <w:div w:id="146672783">
      <w:bodyDiv w:val="1"/>
      <w:marLeft w:val="0"/>
      <w:marRight w:val="0"/>
      <w:marTop w:val="0"/>
      <w:marBottom w:val="0"/>
      <w:divBdr>
        <w:top w:val="none" w:sz="0" w:space="0" w:color="auto"/>
        <w:left w:val="none" w:sz="0" w:space="0" w:color="auto"/>
        <w:bottom w:val="none" w:sz="0" w:space="0" w:color="auto"/>
        <w:right w:val="none" w:sz="0" w:space="0" w:color="auto"/>
      </w:divBdr>
    </w:div>
    <w:div w:id="216936955">
      <w:bodyDiv w:val="1"/>
      <w:marLeft w:val="0"/>
      <w:marRight w:val="0"/>
      <w:marTop w:val="0"/>
      <w:marBottom w:val="0"/>
      <w:divBdr>
        <w:top w:val="none" w:sz="0" w:space="0" w:color="auto"/>
        <w:left w:val="none" w:sz="0" w:space="0" w:color="auto"/>
        <w:bottom w:val="none" w:sz="0" w:space="0" w:color="auto"/>
        <w:right w:val="none" w:sz="0" w:space="0" w:color="auto"/>
      </w:divBdr>
      <w:divsChild>
        <w:div w:id="188880687">
          <w:marLeft w:val="0"/>
          <w:marRight w:val="0"/>
          <w:marTop w:val="83"/>
          <w:marBottom w:val="0"/>
          <w:divBdr>
            <w:top w:val="none" w:sz="0" w:space="0" w:color="auto"/>
            <w:left w:val="none" w:sz="0" w:space="0" w:color="auto"/>
            <w:bottom w:val="none" w:sz="0" w:space="0" w:color="auto"/>
            <w:right w:val="none" w:sz="0" w:space="0" w:color="auto"/>
          </w:divBdr>
        </w:div>
        <w:div w:id="1897545554">
          <w:marLeft w:val="0"/>
          <w:marRight w:val="0"/>
          <w:marTop w:val="83"/>
          <w:marBottom w:val="0"/>
          <w:divBdr>
            <w:top w:val="none" w:sz="0" w:space="0" w:color="auto"/>
            <w:left w:val="none" w:sz="0" w:space="0" w:color="auto"/>
            <w:bottom w:val="none" w:sz="0" w:space="0" w:color="auto"/>
            <w:right w:val="none" w:sz="0" w:space="0" w:color="auto"/>
          </w:divBdr>
        </w:div>
        <w:div w:id="1143500177">
          <w:marLeft w:val="0"/>
          <w:marRight w:val="0"/>
          <w:marTop w:val="83"/>
          <w:marBottom w:val="0"/>
          <w:divBdr>
            <w:top w:val="none" w:sz="0" w:space="0" w:color="auto"/>
            <w:left w:val="none" w:sz="0" w:space="0" w:color="auto"/>
            <w:bottom w:val="none" w:sz="0" w:space="0" w:color="auto"/>
            <w:right w:val="none" w:sz="0" w:space="0" w:color="auto"/>
          </w:divBdr>
        </w:div>
      </w:divsChild>
    </w:div>
    <w:div w:id="218513068">
      <w:bodyDiv w:val="1"/>
      <w:marLeft w:val="0"/>
      <w:marRight w:val="0"/>
      <w:marTop w:val="0"/>
      <w:marBottom w:val="0"/>
      <w:divBdr>
        <w:top w:val="none" w:sz="0" w:space="0" w:color="auto"/>
        <w:left w:val="none" w:sz="0" w:space="0" w:color="auto"/>
        <w:bottom w:val="none" w:sz="0" w:space="0" w:color="auto"/>
        <w:right w:val="none" w:sz="0" w:space="0" w:color="auto"/>
      </w:divBdr>
    </w:div>
    <w:div w:id="224948688">
      <w:bodyDiv w:val="1"/>
      <w:marLeft w:val="0"/>
      <w:marRight w:val="0"/>
      <w:marTop w:val="0"/>
      <w:marBottom w:val="0"/>
      <w:divBdr>
        <w:top w:val="none" w:sz="0" w:space="0" w:color="auto"/>
        <w:left w:val="none" w:sz="0" w:space="0" w:color="auto"/>
        <w:bottom w:val="none" w:sz="0" w:space="0" w:color="auto"/>
        <w:right w:val="none" w:sz="0" w:space="0" w:color="auto"/>
      </w:divBdr>
    </w:div>
    <w:div w:id="356662448">
      <w:bodyDiv w:val="1"/>
      <w:marLeft w:val="0"/>
      <w:marRight w:val="0"/>
      <w:marTop w:val="0"/>
      <w:marBottom w:val="0"/>
      <w:divBdr>
        <w:top w:val="none" w:sz="0" w:space="0" w:color="auto"/>
        <w:left w:val="none" w:sz="0" w:space="0" w:color="auto"/>
        <w:bottom w:val="none" w:sz="0" w:space="0" w:color="auto"/>
        <w:right w:val="none" w:sz="0" w:space="0" w:color="auto"/>
      </w:divBdr>
    </w:div>
    <w:div w:id="442849972">
      <w:bodyDiv w:val="1"/>
      <w:marLeft w:val="0"/>
      <w:marRight w:val="0"/>
      <w:marTop w:val="0"/>
      <w:marBottom w:val="0"/>
      <w:divBdr>
        <w:top w:val="none" w:sz="0" w:space="0" w:color="auto"/>
        <w:left w:val="none" w:sz="0" w:space="0" w:color="auto"/>
        <w:bottom w:val="none" w:sz="0" w:space="0" w:color="auto"/>
        <w:right w:val="none" w:sz="0" w:space="0" w:color="auto"/>
      </w:divBdr>
    </w:div>
    <w:div w:id="460149574">
      <w:bodyDiv w:val="1"/>
      <w:marLeft w:val="0"/>
      <w:marRight w:val="0"/>
      <w:marTop w:val="0"/>
      <w:marBottom w:val="0"/>
      <w:divBdr>
        <w:top w:val="none" w:sz="0" w:space="0" w:color="auto"/>
        <w:left w:val="none" w:sz="0" w:space="0" w:color="auto"/>
        <w:bottom w:val="none" w:sz="0" w:space="0" w:color="auto"/>
        <w:right w:val="none" w:sz="0" w:space="0" w:color="auto"/>
      </w:divBdr>
    </w:div>
    <w:div w:id="471875240">
      <w:bodyDiv w:val="1"/>
      <w:marLeft w:val="0"/>
      <w:marRight w:val="0"/>
      <w:marTop w:val="0"/>
      <w:marBottom w:val="0"/>
      <w:divBdr>
        <w:top w:val="none" w:sz="0" w:space="0" w:color="auto"/>
        <w:left w:val="none" w:sz="0" w:space="0" w:color="auto"/>
        <w:bottom w:val="none" w:sz="0" w:space="0" w:color="auto"/>
        <w:right w:val="none" w:sz="0" w:space="0" w:color="auto"/>
      </w:divBdr>
    </w:div>
    <w:div w:id="484513323">
      <w:bodyDiv w:val="1"/>
      <w:marLeft w:val="0"/>
      <w:marRight w:val="0"/>
      <w:marTop w:val="0"/>
      <w:marBottom w:val="0"/>
      <w:divBdr>
        <w:top w:val="none" w:sz="0" w:space="0" w:color="auto"/>
        <w:left w:val="none" w:sz="0" w:space="0" w:color="auto"/>
        <w:bottom w:val="none" w:sz="0" w:space="0" w:color="auto"/>
        <w:right w:val="none" w:sz="0" w:space="0" w:color="auto"/>
      </w:divBdr>
    </w:div>
    <w:div w:id="498928257">
      <w:bodyDiv w:val="1"/>
      <w:marLeft w:val="0"/>
      <w:marRight w:val="0"/>
      <w:marTop w:val="0"/>
      <w:marBottom w:val="0"/>
      <w:divBdr>
        <w:top w:val="none" w:sz="0" w:space="0" w:color="auto"/>
        <w:left w:val="none" w:sz="0" w:space="0" w:color="auto"/>
        <w:bottom w:val="none" w:sz="0" w:space="0" w:color="auto"/>
        <w:right w:val="none" w:sz="0" w:space="0" w:color="auto"/>
      </w:divBdr>
    </w:div>
    <w:div w:id="501706577">
      <w:bodyDiv w:val="1"/>
      <w:marLeft w:val="0"/>
      <w:marRight w:val="0"/>
      <w:marTop w:val="0"/>
      <w:marBottom w:val="0"/>
      <w:divBdr>
        <w:top w:val="none" w:sz="0" w:space="0" w:color="auto"/>
        <w:left w:val="none" w:sz="0" w:space="0" w:color="auto"/>
        <w:bottom w:val="none" w:sz="0" w:space="0" w:color="auto"/>
        <w:right w:val="none" w:sz="0" w:space="0" w:color="auto"/>
      </w:divBdr>
    </w:div>
    <w:div w:id="573275904">
      <w:bodyDiv w:val="1"/>
      <w:marLeft w:val="0"/>
      <w:marRight w:val="0"/>
      <w:marTop w:val="0"/>
      <w:marBottom w:val="0"/>
      <w:divBdr>
        <w:top w:val="none" w:sz="0" w:space="0" w:color="auto"/>
        <w:left w:val="none" w:sz="0" w:space="0" w:color="auto"/>
        <w:bottom w:val="none" w:sz="0" w:space="0" w:color="auto"/>
        <w:right w:val="none" w:sz="0" w:space="0" w:color="auto"/>
      </w:divBdr>
    </w:div>
    <w:div w:id="618923152">
      <w:bodyDiv w:val="1"/>
      <w:marLeft w:val="0"/>
      <w:marRight w:val="0"/>
      <w:marTop w:val="0"/>
      <w:marBottom w:val="0"/>
      <w:divBdr>
        <w:top w:val="none" w:sz="0" w:space="0" w:color="auto"/>
        <w:left w:val="none" w:sz="0" w:space="0" w:color="auto"/>
        <w:bottom w:val="none" w:sz="0" w:space="0" w:color="auto"/>
        <w:right w:val="none" w:sz="0" w:space="0" w:color="auto"/>
      </w:divBdr>
    </w:div>
    <w:div w:id="668413567">
      <w:bodyDiv w:val="1"/>
      <w:marLeft w:val="0"/>
      <w:marRight w:val="0"/>
      <w:marTop w:val="0"/>
      <w:marBottom w:val="0"/>
      <w:divBdr>
        <w:top w:val="none" w:sz="0" w:space="0" w:color="auto"/>
        <w:left w:val="none" w:sz="0" w:space="0" w:color="auto"/>
        <w:bottom w:val="none" w:sz="0" w:space="0" w:color="auto"/>
        <w:right w:val="none" w:sz="0" w:space="0" w:color="auto"/>
      </w:divBdr>
    </w:div>
    <w:div w:id="730158680">
      <w:bodyDiv w:val="1"/>
      <w:marLeft w:val="0"/>
      <w:marRight w:val="0"/>
      <w:marTop w:val="0"/>
      <w:marBottom w:val="0"/>
      <w:divBdr>
        <w:top w:val="none" w:sz="0" w:space="0" w:color="auto"/>
        <w:left w:val="none" w:sz="0" w:space="0" w:color="auto"/>
        <w:bottom w:val="none" w:sz="0" w:space="0" w:color="auto"/>
        <w:right w:val="none" w:sz="0" w:space="0" w:color="auto"/>
      </w:divBdr>
    </w:div>
    <w:div w:id="734359687">
      <w:bodyDiv w:val="1"/>
      <w:marLeft w:val="0"/>
      <w:marRight w:val="0"/>
      <w:marTop w:val="0"/>
      <w:marBottom w:val="0"/>
      <w:divBdr>
        <w:top w:val="none" w:sz="0" w:space="0" w:color="auto"/>
        <w:left w:val="none" w:sz="0" w:space="0" w:color="auto"/>
        <w:bottom w:val="none" w:sz="0" w:space="0" w:color="auto"/>
        <w:right w:val="none" w:sz="0" w:space="0" w:color="auto"/>
      </w:divBdr>
    </w:div>
    <w:div w:id="743265322">
      <w:bodyDiv w:val="1"/>
      <w:marLeft w:val="0"/>
      <w:marRight w:val="0"/>
      <w:marTop w:val="0"/>
      <w:marBottom w:val="0"/>
      <w:divBdr>
        <w:top w:val="none" w:sz="0" w:space="0" w:color="auto"/>
        <w:left w:val="none" w:sz="0" w:space="0" w:color="auto"/>
        <w:bottom w:val="none" w:sz="0" w:space="0" w:color="auto"/>
        <w:right w:val="none" w:sz="0" w:space="0" w:color="auto"/>
      </w:divBdr>
    </w:div>
    <w:div w:id="859776041">
      <w:bodyDiv w:val="1"/>
      <w:marLeft w:val="0"/>
      <w:marRight w:val="0"/>
      <w:marTop w:val="0"/>
      <w:marBottom w:val="0"/>
      <w:divBdr>
        <w:top w:val="none" w:sz="0" w:space="0" w:color="auto"/>
        <w:left w:val="none" w:sz="0" w:space="0" w:color="auto"/>
        <w:bottom w:val="none" w:sz="0" w:space="0" w:color="auto"/>
        <w:right w:val="none" w:sz="0" w:space="0" w:color="auto"/>
      </w:divBdr>
      <w:divsChild>
        <w:div w:id="283854429">
          <w:marLeft w:val="547"/>
          <w:marRight w:val="0"/>
          <w:marTop w:val="0"/>
          <w:marBottom w:val="120"/>
          <w:divBdr>
            <w:top w:val="none" w:sz="0" w:space="0" w:color="auto"/>
            <w:left w:val="none" w:sz="0" w:space="0" w:color="auto"/>
            <w:bottom w:val="none" w:sz="0" w:space="0" w:color="auto"/>
            <w:right w:val="none" w:sz="0" w:space="0" w:color="auto"/>
          </w:divBdr>
        </w:div>
        <w:div w:id="718163876">
          <w:marLeft w:val="547"/>
          <w:marRight w:val="0"/>
          <w:marTop w:val="0"/>
          <w:marBottom w:val="120"/>
          <w:divBdr>
            <w:top w:val="none" w:sz="0" w:space="0" w:color="auto"/>
            <w:left w:val="none" w:sz="0" w:space="0" w:color="auto"/>
            <w:bottom w:val="none" w:sz="0" w:space="0" w:color="auto"/>
            <w:right w:val="none" w:sz="0" w:space="0" w:color="auto"/>
          </w:divBdr>
        </w:div>
        <w:div w:id="1679383066">
          <w:marLeft w:val="547"/>
          <w:marRight w:val="0"/>
          <w:marTop w:val="0"/>
          <w:marBottom w:val="120"/>
          <w:divBdr>
            <w:top w:val="none" w:sz="0" w:space="0" w:color="auto"/>
            <w:left w:val="none" w:sz="0" w:space="0" w:color="auto"/>
            <w:bottom w:val="none" w:sz="0" w:space="0" w:color="auto"/>
            <w:right w:val="none" w:sz="0" w:space="0" w:color="auto"/>
          </w:divBdr>
        </w:div>
        <w:div w:id="1732193224">
          <w:marLeft w:val="547"/>
          <w:marRight w:val="0"/>
          <w:marTop w:val="0"/>
          <w:marBottom w:val="120"/>
          <w:divBdr>
            <w:top w:val="none" w:sz="0" w:space="0" w:color="auto"/>
            <w:left w:val="none" w:sz="0" w:space="0" w:color="auto"/>
            <w:bottom w:val="none" w:sz="0" w:space="0" w:color="auto"/>
            <w:right w:val="none" w:sz="0" w:space="0" w:color="auto"/>
          </w:divBdr>
        </w:div>
      </w:divsChild>
    </w:div>
    <w:div w:id="888808346">
      <w:bodyDiv w:val="1"/>
      <w:marLeft w:val="0"/>
      <w:marRight w:val="0"/>
      <w:marTop w:val="0"/>
      <w:marBottom w:val="0"/>
      <w:divBdr>
        <w:top w:val="none" w:sz="0" w:space="0" w:color="auto"/>
        <w:left w:val="none" w:sz="0" w:space="0" w:color="auto"/>
        <w:bottom w:val="none" w:sz="0" w:space="0" w:color="auto"/>
        <w:right w:val="none" w:sz="0" w:space="0" w:color="auto"/>
      </w:divBdr>
    </w:div>
    <w:div w:id="949630386">
      <w:bodyDiv w:val="1"/>
      <w:marLeft w:val="0"/>
      <w:marRight w:val="0"/>
      <w:marTop w:val="0"/>
      <w:marBottom w:val="0"/>
      <w:divBdr>
        <w:top w:val="none" w:sz="0" w:space="0" w:color="auto"/>
        <w:left w:val="none" w:sz="0" w:space="0" w:color="auto"/>
        <w:bottom w:val="none" w:sz="0" w:space="0" w:color="auto"/>
        <w:right w:val="none" w:sz="0" w:space="0" w:color="auto"/>
      </w:divBdr>
    </w:div>
    <w:div w:id="988557972">
      <w:bodyDiv w:val="1"/>
      <w:marLeft w:val="0"/>
      <w:marRight w:val="0"/>
      <w:marTop w:val="0"/>
      <w:marBottom w:val="0"/>
      <w:divBdr>
        <w:top w:val="none" w:sz="0" w:space="0" w:color="auto"/>
        <w:left w:val="none" w:sz="0" w:space="0" w:color="auto"/>
        <w:bottom w:val="none" w:sz="0" w:space="0" w:color="auto"/>
        <w:right w:val="none" w:sz="0" w:space="0" w:color="auto"/>
      </w:divBdr>
    </w:div>
    <w:div w:id="1030376696">
      <w:bodyDiv w:val="1"/>
      <w:marLeft w:val="0"/>
      <w:marRight w:val="0"/>
      <w:marTop w:val="0"/>
      <w:marBottom w:val="0"/>
      <w:divBdr>
        <w:top w:val="none" w:sz="0" w:space="0" w:color="auto"/>
        <w:left w:val="none" w:sz="0" w:space="0" w:color="auto"/>
        <w:bottom w:val="none" w:sz="0" w:space="0" w:color="auto"/>
        <w:right w:val="none" w:sz="0" w:space="0" w:color="auto"/>
      </w:divBdr>
    </w:div>
    <w:div w:id="1034424022">
      <w:bodyDiv w:val="1"/>
      <w:marLeft w:val="0"/>
      <w:marRight w:val="0"/>
      <w:marTop w:val="0"/>
      <w:marBottom w:val="0"/>
      <w:divBdr>
        <w:top w:val="none" w:sz="0" w:space="0" w:color="auto"/>
        <w:left w:val="none" w:sz="0" w:space="0" w:color="auto"/>
        <w:bottom w:val="none" w:sz="0" w:space="0" w:color="auto"/>
        <w:right w:val="none" w:sz="0" w:space="0" w:color="auto"/>
      </w:divBdr>
      <w:divsChild>
        <w:div w:id="791167679">
          <w:marLeft w:val="0"/>
          <w:marRight w:val="0"/>
          <w:marTop w:val="83"/>
          <w:marBottom w:val="0"/>
          <w:divBdr>
            <w:top w:val="none" w:sz="0" w:space="0" w:color="auto"/>
            <w:left w:val="none" w:sz="0" w:space="0" w:color="auto"/>
            <w:bottom w:val="none" w:sz="0" w:space="0" w:color="auto"/>
            <w:right w:val="none" w:sz="0" w:space="0" w:color="auto"/>
          </w:divBdr>
        </w:div>
      </w:divsChild>
    </w:div>
    <w:div w:id="1161240492">
      <w:bodyDiv w:val="1"/>
      <w:marLeft w:val="0"/>
      <w:marRight w:val="0"/>
      <w:marTop w:val="0"/>
      <w:marBottom w:val="0"/>
      <w:divBdr>
        <w:top w:val="none" w:sz="0" w:space="0" w:color="auto"/>
        <w:left w:val="none" w:sz="0" w:space="0" w:color="auto"/>
        <w:bottom w:val="none" w:sz="0" w:space="0" w:color="auto"/>
        <w:right w:val="none" w:sz="0" w:space="0" w:color="auto"/>
      </w:divBdr>
    </w:div>
    <w:div w:id="1264149411">
      <w:bodyDiv w:val="1"/>
      <w:marLeft w:val="0"/>
      <w:marRight w:val="0"/>
      <w:marTop w:val="0"/>
      <w:marBottom w:val="0"/>
      <w:divBdr>
        <w:top w:val="none" w:sz="0" w:space="0" w:color="auto"/>
        <w:left w:val="none" w:sz="0" w:space="0" w:color="auto"/>
        <w:bottom w:val="none" w:sz="0" w:space="0" w:color="auto"/>
        <w:right w:val="none" w:sz="0" w:space="0" w:color="auto"/>
      </w:divBdr>
    </w:div>
    <w:div w:id="1305505427">
      <w:bodyDiv w:val="1"/>
      <w:marLeft w:val="0"/>
      <w:marRight w:val="0"/>
      <w:marTop w:val="0"/>
      <w:marBottom w:val="0"/>
      <w:divBdr>
        <w:top w:val="none" w:sz="0" w:space="0" w:color="auto"/>
        <w:left w:val="none" w:sz="0" w:space="0" w:color="auto"/>
        <w:bottom w:val="none" w:sz="0" w:space="0" w:color="auto"/>
        <w:right w:val="none" w:sz="0" w:space="0" w:color="auto"/>
      </w:divBdr>
    </w:div>
    <w:div w:id="1314869779">
      <w:bodyDiv w:val="1"/>
      <w:marLeft w:val="0"/>
      <w:marRight w:val="0"/>
      <w:marTop w:val="0"/>
      <w:marBottom w:val="0"/>
      <w:divBdr>
        <w:top w:val="none" w:sz="0" w:space="0" w:color="auto"/>
        <w:left w:val="none" w:sz="0" w:space="0" w:color="auto"/>
        <w:bottom w:val="none" w:sz="0" w:space="0" w:color="auto"/>
        <w:right w:val="none" w:sz="0" w:space="0" w:color="auto"/>
      </w:divBdr>
    </w:div>
    <w:div w:id="1321542150">
      <w:bodyDiv w:val="1"/>
      <w:marLeft w:val="0"/>
      <w:marRight w:val="0"/>
      <w:marTop w:val="0"/>
      <w:marBottom w:val="0"/>
      <w:divBdr>
        <w:top w:val="none" w:sz="0" w:space="0" w:color="auto"/>
        <w:left w:val="none" w:sz="0" w:space="0" w:color="auto"/>
        <w:bottom w:val="none" w:sz="0" w:space="0" w:color="auto"/>
        <w:right w:val="none" w:sz="0" w:space="0" w:color="auto"/>
      </w:divBdr>
    </w:div>
    <w:div w:id="1355304258">
      <w:bodyDiv w:val="1"/>
      <w:marLeft w:val="0"/>
      <w:marRight w:val="0"/>
      <w:marTop w:val="0"/>
      <w:marBottom w:val="0"/>
      <w:divBdr>
        <w:top w:val="none" w:sz="0" w:space="0" w:color="auto"/>
        <w:left w:val="none" w:sz="0" w:space="0" w:color="auto"/>
        <w:bottom w:val="none" w:sz="0" w:space="0" w:color="auto"/>
        <w:right w:val="none" w:sz="0" w:space="0" w:color="auto"/>
      </w:divBdr>
    </w:div>
    <w:div w:id="1462262054">
      <w:bodyDiv w:val="1"/>
      <w:marLeft w:val="0"/>
      <w:marRight w:val="0"/>
      <w:marTop w:val="0"/>
      <w:marBottom w:val="0"/>
      <w:divBdr>
        <w:top w:val="none" w:sz="0" w:space="0" w:color="auto"/>
        <w:left w:val="none" w:sz="0" w:space="0" w:color="auto"/>
        <w:bottom w:val="none" w:sz="0" w:space="0" w:color="auto"/>
        <w:right w:val="none" w:sz="0" w:space="0" w:color="auto"/>
      </w:divBdr>
    </w:div>
    <w:div w:id="1506944182">
      <w:bodyDiv w:val="1"/>
      <w:marLeft w:val="0"/>
      <w:marRight w:val="0"/>
      <w:marTop w:val="0"/>
      <w:marBottom w:val="0"/>
      <w:divBdr>
        <w:top w:val="none" w:sz="0" w:space="0" w:color="auto"/>
        <w:left w:val="none" w:sz="0" w:space="0" w:color="auto"/>
        <w:bottom w:val="none" w:sz="0" w:space="0" w:color="auto"/>
        <w:right w:val="none" w:sz="0" w:space="0" w:color="auto"/>
      </w:divBdr>
      <w:divsChild>
        <w:div w:id="1183545431">
          <w:marLeft w:val="547"/>
          <w:marRight w:val="0"/>
          <w:marTop w:val="0"/>
          <w:marBottom w:val="0"/>
          <w:divBdr>
            <w:top w:val="none" w:sz="0" w:space="0" w:color="auto"/>
            <w:left w:val="none" w:sz="0" w:space="0" w:color="auto"/>
            <w:bottom w:val="none" w:sz="0" w:space="0" w:color="auto"/>
            <w:right w:val="none" w:sz="0" w:space="0" w:color="auto"/>
          </w:divBdr>
        </w:div>
      </w:divsChild>
    </w:div>
    <w:div w:id="1511720836">
      <w:bodyDiv w:val="1"/>
      <w:marLeft w:val="0"/>
      <w:marRight w:val="0"/>
      <w:marTop w:val="0"/>
      <w:marBottom w:val="0"/>
      <w:divBdr>
        <w:top w:val="none" w:sz="0" w:space="0" w:color="auto"/>
        <w:left w:val="none" w:sz="0" w:space="0" w:color="auto"/>
        <w:bottom w:val="none" w:sz="0" w:space="0" w:color="auto"/>
        <w:right w:val="none" w:sz="0" w:space="0" w:color="auto"/>
      </w:divBdr>
    </w:div>
    <w:div w:id="1514028450">
      <w:bodyDiv w:val="1"/>
      <w:marLeft w:val="0"/>
      <w:marRight w:val="0"/>
      <w:marTop w:val="0"/>
      <w:marBottom w:val="0"/>
      <w:divBdr>
        <w:top w:val="none" w:sz="0" w:space="0" w:color="auto"/>
        <w:left w:val="none" w:sz="0" w:space="0" w:color="auto"/>
        <w:bottom w:val="none" w:sz="0" w:space="0" w:color="auto"/>
        <w:right w:val="none" w:sz="0" w:space="0" w:color="auto"/>
      </w:divBdr>
    </w:div>
    <w:div w:id="1531839786">
      <w:bodyDiv w:val="1"/>
      <w:marLeft w:val="0"/>
      <w:marRight w:val="0"/>
      <w:marTop w:val="0"/>
      <w:marBottom w:val="0"/>
      <w:divBdr>
        <w:top w:val="none" w:sz="0" w:space="0" w:color="auto"/>
        <w:left w:val="none" w:sz="0" w:space="0" w:color="auto"/>
        <w:bottom w:val="none" w:sz="0" w:space="0" w:color="auto"/>
        <w:right w:val="none" w:sz="0" w:space="0" w:color="auto"/>
      </w:divBdr>
    </w:div>
    <w:div w:id="1532062219">
      <w:bodyDiv w:val="1"/>
      <w:marLeft w:val="0"/>
      <w:marRight w:val="0"/>
      <w:marTop w:val="0"/>
      <w:marBottom w:val="0"/>
      <w:divBdr>
        <w:top w:val="none" w:sz="0" w:space="0" w:color="auto"/>
        <w:left w:val="none" w:sz="0" w:space="0" w:color="auto"/>
        <w:bottom w:val="none" w:sz="0" w:space="0" w:color="auto"/>
        <w:right w:val="none" w:sz="0" w:space="0" w:color="auto"/>
      </w:divBdr>
    </w:div>
    <w:div w:id="1601721324">
      <w:bodyDiv w:val="1"/>
      <w:marLeft w:val="0"/>
      <w:marRight w:val="0"/>
      <w:marTop w:val="0"/>
      <w:marBottom w:val="0"/>
      <w:divBdr>
        <w:top w:val="none" w:sz="0" w:space="0" w:color="auto"/>
        <w:left w:val="none" w:sz="0" w:space="0" w:color="auto"/>
        <w:bottom w:val="none" w:sz="0" w:space="0" w:color="auto"/>
        <w:right w:val="none" w:sz="0" w:space="0" w:color="auto"/>
      </w:divBdr>
    </w:div>
    <w:div w:id="1661806709">
      <w:bodyDiv w:val="1"/>
      <w:marLeft w:val="0"/>
      <w:marRight w:val="0"/>
      <w:marTop w:val="0"/>
      <w:marBottom w:val="0"/>
      <w:divBdr>
        <w:top w:val="none" w:sz="0" w:space="0" w:color="auto"/>
        <w:left w:val="none" w:sz="0" w:space="0" w:color="auto"/>
        <w:bottom w:val="none" w:sz="0" w:space="0" w:color="auto"/>
        <w:right w:val="none" w:sz="0" w:space="0" w:color="auto"/>
      </w:divBdr>
    </w:div>
    <w:div w:id="1734741920">
      <w:bodyDiv w:val="1"/>
      <w:marLeft w:val="0"/>
      <w:marRight w:val="0"/>
      <w:marTop w:val="0"/>
      <w:marBottom w:val="0"/>
      <w:divBdr>
        <w:top w:val="none" w:sz="0" w:space="0" w:color="auto"/>
        <w:left w:val="none" w:sz="0" w:space="0" w:color="auto"/>
        <w:bottom w:val="none" w:sz="0" w:space="0" w:color="auto"/>
        <w:right w:val="none" w:sz="0" w:space="0" w:color="auto"/>
      </w:divBdr>
    </w:div>
    <w:div w:id="1917592605">
      <w:bodyDiv w:val="1"/>
      <w:marLeft w:val="0"/>
      <w:marRight w:val="0"/>
      <w:marTop w:val="0"/>
      <w:marBottom w:val="0"/>
      <w:divBdr>
        <w:top w:val="none" w:sz="0" w:space="0" w:color="auto"/>
        <w:left w:val="none" w:sz="0" w:space="0" w:color="auto"/>
        <w:bottom w:val="none" w:sz="0" w:space="0" w:color="auto"/>
        <w:right w:val="none" w:sz="0" w:space="0" w:color="auto"/>
      </w:divBdr>
    </w:div>
    <w:div w:id="1956598530">
      <w:bodyDiv w:val="1"/>
      <w:marLeft w:val="0"/>
      <w:marRight w:val="0"/>
      <w:marTop w:val="0"/>
      <w:marBottom w:val="0"/>
      <w:divBdr>
        <w:top w:val="none" w:sz="0" w:space="0" w:color="auto"/>
        <w:left w:val="none" w:sz="0" w:space="0" w:color="auto"/>
        <w:bottom w:val="none" w:sz="0" w:space="0" w:color="auto"/>
        <w:right w:val="none" w:sz="0" w:space="0" w:color="auto"/>
      </w:divBdr>
    </w:div>
    <w:div w:id="1957172173">
      <w:bodyDiv w:val="1"/>
      <w:marLeft w:val="0"/>
      <w:marRight w:val="0"/>
      <w:marTop w:val="0"/>
      <w:marBottom w:val="0"/>
      <w:divBdr>
        <w:top w:val="none" w:sz="0" w:space="0" w:color="auto"/>
        <w:left w:val="none" w:sz="0" w:space="0" w:color="auto"/>
        <w:bottom w:val="none" w:sz="0" w:space="0" w:color="auto"/>
        <w:right w:val="none" w:sz="0" w:space="0" w:color="auto"/>
      </w:divBdr>
    </w:div>
    <w:div w:id="2000965528">
      <w:bodyDiv w:val="1"/>
      <w:marLeft w:val="0"/>
      <w:marRight w:val="0"/>
      <w:marTop w:val="0"/>
      <w:marBottom w:val="0"/>
      <w:divBdr>
        <w:top w:val="none" w:sz="0" w:space="0" w:color="auto"/>
        <w:left w:val="none" w:sz="0" w:space="0" w:color="auto"/>
        <w:bottom w:val="none" w:sz="0" w:space="0" w:color="auto"/>
        <w:right w:val="none" w:sz="0" w:space="0" w:color="auto"/>
      </w:divBdr>
    </w:div>
    <w:div w:id="2009284652">
      <w:bodyDiv w:val="1"/>
      <w:marLeft w:val="0"/>
      <w:marRight w:val="0"/>
      <w:marTop w:val="0"/>
      <w:marBottom w:val="0"/>
      <w:divBdr>
        <w:top w:val="none" w:sz="0" w:space="0" w:color="auto"/>
        <w:left w:val="none" w:sz="0" w:space="0" w:color="auto"/>
        <w:bottom w:val="none" w:sz="0" w:space="0" w:color="auto"/>
        <w:right w:val="none" w:sz="0" w:space="0" w:color="auto"/>
      </w:divBdr>
    </w:div>
    <w:div w:id="2030793709">
      <w:bodyDiv w:val="1"/>
      <w:marLeft w:val="0"/>
      <w:marRight w:val="0"/>
      <w:marTop w:val="0"/>
      <w:marBottom w:val="0"/>
      <w:divBdr>
        <w:top w:val="none" w:sz="0" w:space="0" w:color="auto"/>
        <w:left w:val="none" w:sz="0" w:space="0" w:color="auto"/>
        <w:bottom w:val="none" w:sz="0" w:space="0" w:color="auto"/>
        <w:right w:val="none" w:sz="0" w:space="0" w:color="auto"/>
      </w:divBdr>
    </w:div>
    <w:div w:id="2055613590">
      <w:bodyDiv w:val="1"/>
      <w:marLeft w:val="0"/>
      <w:marRight w:val="0"/>
      <w:marTop w:val="0"/>
      <w:marBottom w:val="0"/>
      <w:divBdr>
        <w:top w:val="none" w:sz="0" w:space="0" w:color="auto"/>
        <w:left w:val="none" w:sz="0" w:space="0" w:color="auto"/>
        <w:bottom w:val="none" w:sz="0" w:space="0" w:color="auto"/>
        <w:right w:val="none" w:sz="0" w:space="0" w:color="auto"/>
      </w:divBdr>
    </w:div>
    <w:div w:id="2059163899">
      <w:bodyDiv w:val="1"/>
      <w:marLeft w:val="0"/>
      <w:marRight w:val="0"/>
      <w:marTop w:val="0"/>
      <w:marBottom w:val="0"/>
      <w:divBdr>
        <w:top w:val="none" w:sz="0" w:space="0" w:color="auto"/>
        <w:left w:val="none" w:sz="0" w:space="0" w:color="auto"/>
        <w:bottom w:val="none" w:sz="0" w:space="0" w:color="auto"/>
        <w:right w:val="none" w:sz="0" w:space="0" w:color="auto"/>
      </w:divBdr>
    </w:div>
    <w:div w:id="2071883221">
      <w:bodyDiv w:val="1"/>
      <w:marLeft w:val="0"/>
      <w:marRight w:val="0"/>
      <w:marTop w:val="0"/>
      <w:marBottom w:val="0"/>
      <w:divBdr>
        <w:top w:val="none" w:sz="0" w:space="0" w:color="auto"/>
        <w:left w:val="none" w:sz="0" w:space="0" w:color="auto"/>
        <w:bottom w:val="none" w:sz="0" w:space="0" w:color="auto"/>
        <w:right w:val="none" w:sz="0" w:space="0" w:color="auto"/>
      </w:divBdr>
    </w:div>
    <w:div w:id="2078280043">
      <w:bodyDiv w:val="1"/>
      <w:marLeft w:val="0"/>
      <w:marRight w:val="0"/>
      <w:marTop w:val="0"/>
      <w:marBottom w:val="0"/>
      <w:divBdr>
        <w:top w:val="none" w:sz="0" w:space="0" w:color="auto"/>
        <w:left w:val="none" w:sz="0" w:space="0" w:color="auto"/>
        <w:bottom w:val="none" w:sz="0" w:space="0" w:color="auto"/>
        <w:right w:val="none" w:sz="0" w:space="0" w:color="auto"/>
      </w:divBdr>
    </w:div>
    <w:div w:id="20892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mbie.govt.nz" TargetMode="Externa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https://www.legislation.gov.au/Details/F2021C00201/Html/Text" TargetMode="Externa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mailto:competition.policy@mbie.govt.nz" TargetMode="External"/><Relationship Id="rId25" Type="http://schemas.openxmlformats.org/officeDocument/2006/relationships/diagramData" Target="diagrams/data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petition.policy@mbie.govt.nz" TargetMode="External"/><Relationship Id="rId20" Type="http://schemas.openxmlformats.org/officeDocument/2006/relationships/footer" Target="footer3.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ebarchive.nationalarchives.gov.uk/ukgwa/20111108202701/http://competition-commission.org.uk/inquiries/ref2006/grocery/pdf/revised_gscop_order.pdf"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mbie.govt.nz/have-your-say/grocery-code-of-conduct/" TargetMode="External"/><Relationship Id="rId23" Type="http://schemas.openxmlformats.org/officeDocument/2006/relationships/hyperlink" Target="https://www.gov.uk/government/publications/groceries-supply-code-of-practice/groceries-supply-code-of-practice" TargetMode="External"/><Relationship Id="rId28"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mbie.govt.nz/cross-government-functions/government-centre-for-dispute-resolution/" TargetMode="External"/><Relationship Id="rId27" Type="http://schemas.openxmlformats.org/officeDocument/2006/relationships/diagramQuickStyle" Target="diagrams/quickStyle1.xml"/><Relationship Id="rId30" Type="http://schemas.openxmlformats.org/officeDocument/2006/relationships/header" Target="header5.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untdown.co.nz/media/9959/wwnz-supplier-charter-180618.pdf" TargetMode="External"/><Relationship Id="rId13" Type="http://schemas.openxmlformats.org/officeDocument/2006/relationships/hyperlink" Target="https://tedr.org.nz/" TargetMode="External"/><Relationship Id="rId18" Type="http://schemas.openxmlformats.org/officeDocument/2006/relationships/hyperlink" Target="https://assets.publishing.service.gov.uk/government/uploads/system/uploads/attachment_data/file/995915/Groceries_Code_Adjudicator_Annual_Report_and_Accounts_2020-2021.pdf" TargetMode="External"/><Relationship Id="rId26" Type="http://schemas.openxmlformats.org/officeDocument/2006/relationships/hyperlink" Target="https://www.accc.gov.au/business/industry-codes/food-and-grocery-code-of-conduct/food-and-grocery-code" TargetMode="External"/><Relationship Id="rId3" Type="http://schemas.openxmlformats.org/officeDocument/2006/relationships/hyperlink" Target="https://comcom.govt.nz/__data/assets/pdf_file/0032/265766/Dairy-and-Business-Owners-Group-Submission-on-Market-study-into-grocery-sector-draft-report-25-August-2021.pdf" TargetMode="External"/><Relationship Id="rId21" Type="http://schemas.openxmlformats.org/officeDocument/2006/relationships/hyperlink" Target="https://assets.publishing.service.gov.uk/government/uploads/system/uploads/attachment_data/file/995915/Groceries_Code_Adjudicator_Annual_Report_and_Accounts_2020-2021.pdf" TargetMode="External"/><Relationship Id="rId7" Type="http://schemas.openxmlformats.org/officeDocument/2006/relationships/hyperlink" Target="https://www.foodstuffs-exchange.co.nz/assets/documents/Supplier_relationship_charter.pdf" TargetMode="External"/><Relationship Id="rId12" Type="http://schemas.openxmlformats.org/officeDocument/2006/relationships/hyperlink" Target="https://www.legislation.govt.nz/act/public/2020/0060/latest/whole.html" TargetMode="External"/><Relationship Id="rId17" Type="http://schemas.openxmlformats.org/officeDocument/2006/relationships/hyperlink" Target="https://www.buildingdisputestribunal.co.nz/adjudication/" TargetMode="External"/><Relationship Id="rId25" Type="http://schemas.openxmlformats.org/officeDocument/2006/relationships/hyperlink" Target="https://www.legislation.gov.uk/ukdsi/2015/9780111128213" TargetMode="External"/><Relationship Id="rId2" Type="http://schemas.openxmlformats.org/officeDocument/2006/relationships/hyperlink" Target="https://www.legislation.gov.au/Details/F2021C00201" TargetMode="External"/><Relationship Id="rId16" Type="http://schemas.openxmlformats.org/officeDocument/2006/relationships/hyperlink" Target="https://www.mbie.govt.nz/cross-government-functions/government-centre-for-dispute-resolution/dispute-resolution-tools-and-resources/dispute-resolution-best-practice-principles/" TargetMode="External"/><Relationship Id="rId20" Type="http://schemas.openxmlformats.org/officeDocument/2006/relationships/hyperlink" Target="https://treasury.gov.au/sites/default/files/2021-11/p2021-229034_0.pdf" TargetMode="External"/><Relationship Id="rId1" Type="http://schemas.openxmlformats.org/officeDocument/2006/relationships/hyperlink" Target="https://comcom.govt.nz/about-us/our-role/competition-studies/market-study-into-retail-grocery-sector" TargetMode="External"/><Relationship Id="rId6" Type="http://schemas.openxmlformats.org/officeDocument/2006/relationships/hyperlink" Target="https://www.beehive.govt.nz/release/driving-prompt-payments-small-businesses" TargetMode="External"/><Relationship Id="rId11" Type="http://schemas.openxmlformats.org/officeDocument/2006/relationships/hyperlink" Target="https://www.mbie.govt.nz/cross-government-functions/government-centre-for-dispute-resolution/why-dispute-resolution-is-important/" TargetMode="External"/><Relationship Id="rId24" Type="http://schemas.openxmlformats.org/officeDocument/2006/relationships/hyperlink" Target="https://assets.publishing.service.gov.uk/government/uploads/system/uploads/attachment_data/file/995915/Groceries_Code_Adjudicator_Annual_Report_and_Accounts_2020-2021.pdf" TargetMode="External"/><Relationship Id="rId5" Type="http://schemas.openxmlformats.org/officeDocument/2006/relationships/hyperlink" Target="https://www.employment.govt.nz/resolving-problems/employer-and-employee-must-dos/good-faith/" TargetMode="External"/><Relationship Id="rId15" Type="http://schemas.openxmlformats.org/officeDocument/2006/relationships/hyperlink" Target="https://assets.publishing.service.gov.uk/government/uploads/system/uploads/attachment_data/file/995915/Groceries_Code_Adjudicator_Annual_Report_and_Accounts_2020-2021.pdf" TargetMode="External"/><Relationship Id="rId23" Type="http://schemas.openxmlformats.org/officeDocument/2006/relationships/hyperlink" Target="https://www.legislation.gov.uk/ukpga/2013/19/enacted" TargetMode="External"/><Relationship Id="rId10" Type="http://schemas.openxmlformats.org/officeDocument/2006/relationships/hyperlink" Target="https://treasury.gov.au/sites/default/files/2021-11/p2021-229034_0.pdf" TargetMode="External"/><Relationship Id="rId19" Type="http://schemas.openxmlformats.org/officeDocument/2006/relationships/hyperlink" Target="https://treasury.gov.au/sites/default/files/2021-11/p2021-229034_0.pdf" TargetMode="External"/><Relationship Id="rId4" Type="http://schemas.openxmlformats.org/officeDocument/2006/relationships/hyperlink" Target="https://treasury.gov.au/review/food-and-grocery-code-of-conduct-review" TargetMode="External"/><Relationship Id="rId9" Type="http://schemas.openxmlformats.org/officeDocument/2006/relationships/hyperlink" Target="https://comcom.govt.nz/__data/assets/pdf_file/0036/269847/Christine-Tacon-The-Impact-of-Groceries-Regulation-in-the-UK-New-Zealand-Briefing-GCA-2013-October-2020.pdf" TargetMode="External"/><Relationship Id="rId14" Type="http://schemas.openxmlformats.org/officeDocument/2006/relationships/hyperlink" Target="https://www.accc.gov.au/business/industry-codes/food-and-grocery-code-of-conduct/changes-to-the-food-and-grocery-code" TargetMode="External"/><Relationship Id="rId22" Type="http://schemas.openxmlformats.org/officeDocument/2006/relationships/hyperlink" Target="https://www.gov.uk/cma-cases/groceries-market-investigation-cc" TargetMode="External"/><Relationship Id="rId27" Type="http://schemas.openxmlformats.org/officeDocument/2006/relationships/hyperlink" Target="https://treasury.gov.au/sites/default/files/2019-03/c2018-338723-Australian-Competition-and-Consumer-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bils\AppData\Local\Temp\1\7zOCAEE8309\Discussion%20paper%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301806-84EF-4903-BB0C-32CB7E0280FB}" type="doc">
      <dgm:prSet loTypeId="urn:microsoft.com/office/officeart/2005/8/layout/cycle7" loCatId="cycle" qsTypeId="urn:microsoft.com/office/officeart/2005/8/quickstyle/simple1" qsCatId="simple" csTypeId="urn:microsoft.com/office/officeart/2005/8/colors/accent0_2" csCatId="mainScheme" phldr="1"/>
      <dgm:spPr/>
      <dgm:t>
        <a:bodyPr/>
        <a:lstStyle/>
        <a:p>
          <a:endParaRPr lang="en-NZ"/>
        </a:p>
      </dgm:t>
    </dgm:pt>
    <dgm:pt modelId="{9B844378-1604-40D6-ACE8-5774539A2AF4}">
      <dgm:prSet phldrT="[Text]" custT="1"/>
      <dgm:spPr/>
      <dgm:t>
        <a:bodyPr/>
        <a:lstStyle/>
        <a:p>
          <a:r>
            <a:rPr lang="en-NZ" sz="1100" b="1">
              <a:solidFill>
                <a:sysClr val="windowText" lastClr="000000"/>
              </a:solidFill>
            </a:rPr>
            <a:t>Retailer </a:t>
          </a:r>
        </a:p>
        <a:p>
          <a:r>
            <a:rPr lang="en-NZ" sz="900">
              <a:solidFill>
                <a:sysClr val="windowText" lastClr="000000"/>
              </a:solidFill>
            </a:rPr>
            <a:t>Is bound by the Code in trading relationship with supplier (refer to </a:t>
          </a:r>
          <a:r>
            <a:rPr lang="en-NZ" sz="900" b="1">
              <a:solidFill>
                <a:sysClr val="windowText" lastClr="000000"/>
              </a:solidFill>
            </a:rPr>
            <a:t>Chapter 3</a:t>
          </a:r>
          <a:r>
            <a:rPr lang="en-NZ" sz="900">
              <a:solidFill>
                <a:sysClr val="windowText" lastClr="000000"/>
              </a:solidFill>
            </a:rPr>
            <a:t>)</a:t>
          </a:r>
        </a:p>
      </dgm:t>
    </dgm:pt>
    <dgm:pt modelId="{FD8AE291-DB8C-491B-937A-B80CE053E333}" type="parTrans" cxnId="{8F4BF872-3598-4C10-B6DF-0F225D568267}">
      <dgm:prSet/>
      <dgm:spPr/>
      <dgm:t>
        <a:bodyPr/>
        <a:lstStyle/>
        <a:p>
          <a:endParaRPr lang="en-NZ"/>
        </a:p>
      </dgm:t>
    </dgm:pt>
    <dgm:pt modelId="{582605FF-A8FD-4429-BF17-E7CBE4B5A4D9}" type="sibTrans" cxnId="{8F4BF872-3598-4C10-B6DF-0F225D568267}">
      <dgm:prSet/>
      <dgm:spPr/>
      <dgm:t>
        <a:bodyPr/>
        <a:lstStyle/>
        <a:p>
          <a:endParaRPr lang="en-NZ"/>
        </a:p>
      </dgm:t>
    </dgm:pt>
    <dgm:pt modelId="{6A27814C-A493-4FB5-B535-163A0BD41047}">
      <dgm:prSet phldrT="[Text]" custT="1"/>
      <dgm:spPr/>
      <dgm:t>
        <a:bodyPr/>
        <a:lstStyle/>
        <a:p>
          <a:r>
            <a:rPr lang="en-NZ" sz="1100" b="1">
              <a:solidFill>
                <a:sysClr val="windowText" lastClr="000000"/>
              </a:solidFill>
            </a:rPr>
            <a:t>Supplier</a:t>
          </a:r>
        </a:p>
        <a:p>
          <a:r>
            <a:rPr lang="en-NZ" sz="900">
              <a:solidFill>
                <a:sysClr val="windowText" lastClr="000000"/>
              </a:solidFill>
            </a:rPr>
            <a:t>May raise a dispute when issues arise (refer to </a:t>
          </a:r>
          <a:r>
            <a:rPr lang="en-NZ" sz="900" b="1">
              <a:solidFill>
                <a:sysClr val="windowText" lastClr="000000"/>
              </a:solidFill>
            </a:rPr>
            <a:t>Chapter 8</a:t>
          </a:r>
          <a:r>
            <a:rPr lang="en-NZ" sz="900">
              <a:solidFill>
                <a:sysClr val="windowText" lastClr="000000"/>
              </a:solidFill>
            </a:rPr>
            <a:t>)</a:t>
          </a:r>
          <a:endParaRPr lang="en-NZ" sz="900" b="1">
            <a:solidFill>
              <a:sysClr val="windowText" lastClr="000000"/>
            </a:solidFill>
          </a:endParaRPr>
        </a:p>
      </dgm:t>
    </dgm:pt>
    <dgm:pt modelId="{2BDD06E8-2477-4249-9C4B-84ACFDEBFBFA}" type="parTrans" cxnId="{BEDCFD97-E369-4AF7-8B67-B91032D22B38}">
      <dgm:prSet/>
      <dgm:spPr/>
      <dgm:t>
        <a:bodyPr/>
        <a:lstStyle/>
        <a:p>
          <a:endParaRPr lang="en-NZ"/>
        </a:p>
      </dgm:t>
    </dgm:pt>
    <dgm:pt modelId="{CF075E6D-AFA2-4A1C-9C99-E31FC4F714F5}" type="sibTrans" cxnId="{BEDCFD97-E369-4AF7-8B67-B91032D22B38}">
      <dgm:prSet/>
      <dgm:spPr/>
      <dgm:t>
        <a:bodyPr/>
        <a:lstStyle/>
        <a:p>
          <a:endParaRPr lang="en-NZ"/>
        </a:p>
      </dgm:t>
    </dgm:pt>
    <dgm:pt modelId="{8EB3AF4C-B72B-4382-83ED-95DAD3420AFA}" type="pres">
      <dgm:prSet presAssocID="{C9301806-84EF-4903-BB0C-32CB7E0280FB}" presName="Name0" presStyleCnt="0">
        <dgm:presLayoutVars>
          <dgm:dir/>
          <dgm:resizeHandles val="exact"/>
        </dgm:presLayoutVars>
      </dgm:prSet>
      <dgm:spPr/>
    </dgm:pt>
    <dgm:pt modelId="{B8A09991-CD52-46E3-B802-BA031BF4C447}" type="pres">
      <dgm:prSet presAssocID="{9B844378-1604-40D6-ACE8-5774539A2AF4}" presName="node" presStyleLbl="node1" presStyleIdx="0" presStyleCnt="2" custScaleX="238772" custScaleY="43413" custRadScaleRad="134248" custRadScaleInc="-1225">
        <dgm:presLayoutVars>
          <dgm:bulletEnabled val="1"/>
        </dgm:presLayoutVars>
      </dgm:prSet>
      <dgm:spPr/>
    </dgm:pt>
    <dgm:pt modelId="{7A778A5E-3068-4482-94C9-81F8EAC0C31B}" type="pres">
      <dgm:prSet presAssocID="{582605FF-A8FD-4429-BF17-E7CBE4B5A4D9}" presName="sibTrans" presStyleLbl="sibTrans2D1" presStyleIdx="0" presStyleCnt="2" custScaleX="120035" custLinFactNeighborX="4775" custLinFactNeighborY="-2170"/>
      <dgm:spPr/>
    </dgm:pt>
    <dgm:pt modelId="{9235D288-E2AE-441A-A4E5-1DA92E6479C1}" type="pres">
      <dgm:prSet presAssocID="{582605FF-A8FD-4429-BF17-E7CBE4B5A4D9}" presName="connectorText" presStyleLbl="sibTrans2D1" presStyleIdx="0" presStyleCnt="2"/>
      <dgm:spPr/>
    </dgm:pt>
    <dgm:pt modelId="{C21D64A3-D3B8-44FE-9164-81A3947CE046}" type="pres">
      <dgm:prSet presAssocID="{6A27814C-A493-4FB5-B535-163A0BD41047}" presName="node" presStyleLbl="node1" presStyleIdx="1" presStyleCnt="2" custScaleX="238772" custScaleY="43413" custRadScaleRad="111024" custRadScaleInc="1852">
        <dgm:presLayoutVars>
          <dgm:bulletEnabled val="1"/>
        </dgm:presLayoutVars>
      </dgm:prSet>
      <dgm:spPr/>
    </dgm:pt>
    <dgm:pt modelId="{66F8CEC0-57E0-48E6-ADA8-672976FBCC99}" type="pres">
      <dgm:prSet presAssocID="{CF075E6D-AFA2-4A1C-9C99-E31FC4F714F5}" presName="sibTrans" presStyleLbl="sibTrans2D1" presStyleIdx="1" presStyleCnt="2" custScaleX="120035" custLinFactNeighborX="4378" custLinFactNeighborY="1"/>
      <dgm:spPr/>
    </dgm:pt>
    <dgm:pt modelId="{442D0EF3-42D2-44A4-8593-8C039FD9A985}" type="pres">
      <dgm:prSet presAssocID="{CF075E6D-AFA2-4A1C-9C99-E31FC4F714F5}" presName="connectorText" presStyleLbl="sibTrans2D1" presStyleIdx="1" presStyleCnt="2"/>
      <dgm:spPr/>
    </dgm:pt>
  </dgm:ptLst>
  <dgm:cxnLst>
    <dgm:cxn modelId="{348B2919-807D-4B92-B6F2-46A561BEE8B5}" type="presOf" srcId="{CF075E6D-AFA2-4A1C-9C99-E31FC4F714F5}" destId="{66F8CEC0-57E0-48E6-ADA8-672976FBCC99}" srcOrd="0" destOrd="0" presId="urn:microsoft.com/office/officeart/2005/8/layout/cycle7"/>
    <dgm:cxn modelId="{13B6311C-27E5-4CA3-9A4A-26EC197FA9EF}" type="presOf" srcId="{582605FF-A8FD-4429-BF17-E7CBE4B5A4D9}" destId="{7A778A5E-3068-4482-94C9-81F8EAC0C31B}" srcOrd="0" destOrd="0" presId="urn:microsoft.com/office/officeart/2005/8/layout/cycle7"/>
    <dgm:cxn modelId="{EDB7664F-E0EF-48AA-A17E-F1F5838534A3}" type="presOf" srcId="{C9301806-84EF-4903-BB0C-32CB7E0280FB}" destId="{8EB3AF4C-B72B-4382-83ED-95DAD3420AFA}" srcOrd="0" destOrd="0" presId="urn:microsoft.com/office/officeart/2005/8/layout/cycle7"/>
    <dgm:cxn modelId="{8F4BF872-3598-4C10-B6DF-0F225D568267}" srcId="{C9301806-84EF-4903-BB0C-32CB7E0280FB}" destId="{9B844378-1604-40D6-ACE8-5774539A2AF4}" srcOrd="0" destOrd="0" parTransId="{FD8AE291-DB8C-491B-937A-B80CE053E333}" sibTransId="{582605FF-A8FD-4429-BF17-E7CBE4B5A4D9}"/>
    <dgm:cxn modelId="{6F701679-E401-4A7D-B558-6F4DBC0611A9}" type="presOf" srcId="{9B844378-1604-40D6-ACE8-5774539A2AF4}" destId="{B8A09991-CD52-46E3-B802-BA031BF4C447}" srcOrd="0" destOrd="0" presId="urn:microsoft.com/office/officeart/2005/8/layout/cycle7"/>
    <dgm:cxn modelId="{BEDCFD97-E369-4AF7-8B67-B91032D22B38}" srcId="{C9301806-84EF-4903-BB0C-32CB7E0280FB}" destId="{6A27814C-A493-4FB5-B535-163A0BD41047}" srcOrd="1" destOrd="0" parTransId="{2BDD06E8-2477-4249-9C4B-84ACFDEBFBFA}" sibTransId="{CF075E6D-AFA2-4A1C-9C99-E31FC4F714F5}"/>
    <dgm:cxn modelId="{5E891A9F-9BE7-4663-8FD6-CE02A1B399F6}" type="presOf" srcId="{6A27814C-A493-4FB5-B535-163A0BD41047}" destId="{C21D64A3-D3B8-44FE-9164-81A3947CE046}" srcOrd="0" destOrd="0" presId="urn:microsoft.com/office/officeart/2005/8/layout/cycle7"/>
    <dgm:cxn modelId="{DDF25ABA-58BD-40F8-BD28-D7B74BADAB21}" type="presOf" srcId="{CF075E6D-AFA2-4A1C-9C99-E31FC4F714F5}" destId="{442D0EF3-42D2-44A4-8593-8C039FD9A985}" srcOrd="1" destOrd="0" presId="urn:microsoft.com/office/officeart/2005/8/layout/cycle7"/>
    <dgm:cxn modelId="{382C72BE-A110-4CBD-A616-83E9EE6F0823}" type="presOf" srcId="{582605FF-A8FD-4429-BF17-E7CBE4B5A4D9}" destId="{9235D288-E2AE-441A-A4E5-1DA92E6479C1}" srcOrd="1" destOrd="0" presId="urn:microsoft.com/office/officeart/2005/8/layout/cycle7"/>
    <dgm:cxn modelId="{7E9231F7-DE6C-4DD8-9FD1-4739AE886656}" type="presParOf" srcId="{8EB3AF4C-B72B-4382-83ED-95DAD3420AFA}" destId="{B8A09991-CD52-46E3-B802-BA031BF4C447}" srcOrd="0" destOrd="0" presId="urn:microsoft.com/office/officeart/2005/8/layout/cycle7"/>
    <dgm:cxn modelId="{8CFA0EC8-1095-403A-8F38-F58691110599}" type="presParOf" srcId="{8EB3AF4C-B72B-4382-83ED-95DAD3420AFA}" destId="{7A778A5E-3068-4482-94C9-81F8EAC0C31B}" srcOrd="1" destOrd="0" presId="urn:microsoft.com/office/officeart/2005/8/layout/cycle7"/>
    <dgm:cxn modelId="{D904C190-3830-45F4-B634-7BD6E2916CC2}" type="presParOf" srcId="{7A778A5E-3068-4482-94C9-81F8EAC0C31B}" destId="{9235D288-E2AE-441A-A4E5-1DA92E6479C1}" srcOrd="0" destOrd="0" presId="urn:microsoft.com/office/officeart/2005/8/layout/cycle7"/>
    <dgm:cxn modelId="{80021134-FB11-4B03-9264-88CDBC1E6214}" type="presParOf" srcId="{8EB3AF4C-B72B-4382-83ED-95DAD3420AFA}" destId="{C21D64A3-D3B8-44FE-9164-81A3947CE046}" srcOrd="2" destOrd="0" presId="urn:microsoft.com/office/officeart/2005/8/layout/cycle7"/>
    <dgm:cxn modelId="{40EEC396-E7AD-430F-AD75-E7181718C7F4}" type="presParOf" srcId="{8EB3AF4C-B72B-4382-83ED-95DAD3420AFA}" destId="{66F8CEC0-57E0-48E6-ADA8-672976FBCC99}" srcOrd="3" destOrd="0" presId="urn:microsoft.com/office/officeart/2005/8/layout/cycle7"/>
    <dgm:cxn modelId="{F2F7FCA7-1613-4E43-ADD0-307D9FBB3FC8}" type="presParOf" srcId="{66F8CEC0-57E0-48E6-ADA8-672976FBCC99}" destId="{442D0EF3-42D2-44A4-8593-8C039FD9A985}" srcOrd="0" destOrd="0" presId="urn:microsoft.com/office/officeart/2005/8/layout/cycle7"/>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09991-CD52-46E3-B802-BA031BF4C447}">
      <dsp:nvSpPr>
        <dsp:cNvPr id="0" name=""/>
        <dsp:cNvSpPr/>
      </dsp:nvSpPr>
      <dsp:spPr>
        <a:xfrm>
          <a:off x="538098" y="28905"/>
          <a:ext cx="4356001" cy="39599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b="1" kern="1200">
              <a:solidFill>
                <a:sysClr val="windowText" lastClr="000000"/>
              </a:solidFill>
            </a:rPr>
            <a:t>Retailer </a:t>
          </a:r>
        </a:p>
        <a:p>
          <a:pPr marL="0" lvl="0" indent="0" algn="ctr" defTabSz="488950">
            <a:lnSpc>
              <a:spcPct val="90000"/>
            </a:lnSpc>
            <a:spcBef>
              <a:spcPct val="0"/>
            </a:spcBef>
            <a:spcAft>
              <a:spcPct val="35000"/>
            </a:spcAft>
            <a:buNone/>
          </a:pPr>
          <a:r>
            <a:rPr lang="en-NZ" sz="900" kern="1200">
              <a:solidFill>
                <a:sysClr val="windowText" lastClr="000000"/>
              </a:solidFill>
            </a:rPr>
            <a:t>Is bound by the Code in trading relationship with supplier (refer to </a:t>
          </a:r>
          <a:r>
            <a:rPr lang="en-NZ" sz="900" b="1" kern="1200">
              <a:solidFill>
                <a:sysClr val="windowText" lastClr="000000"/>
              </a:solidFill>
            </a:rPr>
            <a:t>Chapter 3</a:t>
          </a:r>
          <a:r>
            <a:rPr lang="en-NZ" sz="900" kern="1200">
              <a:solidFill>
                <a:sysClr val="windowText" lastClr="000000"/>
              </a:solidFill>
            </a:rPr>
            <a:t>)</a:t>
          </a:r>
        </a:p>
      </dsp:txBody>
      <dsp:txXfrm>
        <a:off x="549696" y="40503"/>
        <a:ext cx="4332805" cy="372803"/>
      </dsp:txXfrm>
    </dsp:sp>
    <dsp:sp modelId="{7A778A5E-3068-4482-94C9-81F8EAC0C31B}">
      <dsp:nvSpPr>
        <dsp:cNvPr id="0" name=""/>
        <dsp:cNvSpPr/>
      </dsp:nvSpPr>
      <dsp:spPr>
        <a:xfrm rot="5409061">
          <a:off x="1750811" y="1346611"/>
          <a:ext cx="2090083" cy="319258"/>
        </a:xfrm>
        <a:prstGeom prst="lef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NZ" sz="1300" kern="1200"/>
        </a:p>
      </dsp:txBody>
      <dsp:txXfrm rot="10800000">
        <a:off x="1846588" y="1410463"/>
        <a:ext cx="1898529" cy="191554"/>
      </dsp:txXfrm>
    </dsp:sp>
    <dsp:sp modelId="{C21D64A3-D3B8-44FE-9164-81A3947CE046}">
      <dsp:nvSpPr>
        <dsp:cNvPr id="0" name=""/>
        <dsp:cNvSpPr/>
      </dsp:nvSpPr>
      <dsp:spPr>
        <a:xfrm>
          <a:off x="531318" y="2601432"/>
          <a:ext cx="4356001" cy="39599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b="1" kern="1200">
              <a:solidFill>
                <a:sysClr val="windowText" lastClr="000000"/>
              </a:solidFill>
            </a:rPr>
            <a:t>Supplier</a:t>
          </a:r>
        </a:p>
        <a:p>
          <a:pPr marL="0" lvl="0" indent="0" algn="ctr" defTabSz="488950">
            <a:lnSpc>
              <a:spcPct val="90000"/>
            </a:lnSpc>
            <a:spcBef>
              <a:spcPct val="0"/>
            </a:spcBef>
            <a:spcAft>
              <a:spcPct val="35000"/>
            </a:spcAft>
            <a:buNone/>
          </a:pPr>
          <a:r>
            <a:rPr lang="en-NZ" sz="900" kern="1200">
              <a:solidFill>
                <a:sysClr val="windowText" lastClr="000000"/>
              </a:solidFill>
            </a:rPr>
            <a:t>May raise a dispute when issues arise (refer to </a:t>
          </a:r>
          <a:r>
            <a:rPr lang="en-NZ" sz="900" b="1" kern="1200">
              <a:solidFill>
                <a:sysClr val="windowText" lastClr="000000"/>
              </a:solidFill>
            </a:rPr>
            <a:t>Chapter 8</a:t>
          </a:r>
          <a:r>
            <a:rPr lang="en-NZ" sz="900" kern="1200">
              <a:solidFill>
                <a:sysClr val="windowText" lastClr="000000"/>
              </a:solidFill>
            </a:rPr>
            <a:t>)</a:t>
          </a:r>
          <a:endParaRPr lang="en-NZ" sz="900" b="1" kern="1200">
            <a:solidFill>
              <a:sysClr val="windowText" lastClr="000000"/>
            </a:solidFill>
          </a:endParaRPr>
        </a:p>
      </dsp:txBody>
      <dsp:txXfrm>
        <a:off x="542916" y="2613030"/>
        <a:ext cx="4332805" cy="372803"/>
      </dsp:txXfrm>
    </dsp:sp>
    <dsp:sp modelId="{66F8CEC0-57E0-48E6-ADA8-672976FBCC99}">
      <dsp:nvSpPr>
        <dsp:cNvPr id="0" name=""/>
        <dsp:cNvSpPr/>
      </dsp:nvSpPr>
      <dsp:spPr>
        <a:xfrm rot="16209061">
          <a:off x="1743898" y="1353542"/>
          <a:ext cx="2090083" cy="319258"/>
        </a:xfrm>
        <a:prstGeom prst="lef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NZ" sz="1300" kern="1200"/>
        </a:p>
      </dsp:txBody>
      <dsp:txXfrm>
        <a:off x="1839675" y="1417394"/>
        <a:ext cx="1898529" cy="191554"/>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AFFBFF0853450F844E65A9A206E82A"/>
        <w:category>
          <w:name w:val="General"/>
          <w:gallery w:val="placeholder"/>
        </w:category>
        <w:types>
          <w:type w:val="bbPlcHdr"/>
        </w:types>
        <w:behaviors>
          <w:behavior w:val="content"/>
        </w:behaviors>
        <w:guid w:val="{794600FA-F50B-45BC-A2D5-CED7D10C1824}"/>
      </w:docPartPr>
      <w:docPartBody>
        <w:p w:rsidR="007F0A28" w:rsidRDefault="007F0A28">
          <w:pPr>
            <w:pStyle w:val="9DAFFBFF0853450F844E65A9A206E82A"/>
          </w:pPr>
          <w:r w:rsidRPr="00210DA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28"/>
    <w:rsid w:val="00031888"/>
    <w:rsid w:val="00066CDF"/>
    <w:rsid w:val="00105748"/>
    <w:rsid w:val="00111713"/>
    <w:rsid w:val="001471E2"/>
    <w:rsid w:val="00151E30"/>
    <w:rsid w:val="001953EB"/>
    <w:rsid w:val="001F00CB"/>
    <w:rsid w:val="001F6553"/>
    <w:rsid w:val="00290D72"/>
    <w:rsid w:val="002D5BB9"/>
    <w:rsid w:val="002E0ECB"/>
    <w:rsid w:val="003108D6"/>
    <w:rsid w:val="003277E4"/>
    <w:rsid w:val="004350A4"/>
    <w:rsid w:val="0046091C"/>
    <w:rsid w:val="004B33B9"/>
    <w:rsid w:val="004C6945"/>
    <w:rsid w:val="004E146B"/>
    <w:rsid w:val="00562881"/>
    <w:rsid w:val="00584DE6"/>
    <w:rsid w:val="00624796"/>
    <w:rsid w:val="00646370"/>
    <w:rsid w:val="00656F5C"/>
    <w:rsid w:val="006A2A4F"/>
    <w:rsid w:val="006A3275"/>
    <w:rsid w:val="007017DC"/>
    <w:rsid w:val="007065FB"/>
    <w:rsid w:val="00723263"/>
    <w:rsid w:val="007826AF"/>
    <w:rsid w:val="00796D93"/>
    <w:rsid w:val="007F0A28"/>
    <w:rsid w:val="00813A9D"/>
    <w:rsid w:val="008F168A"/>
    <w:rsid w:val="0090666C"/>
    <w:rsid w:val="00914279"/>
    <w:rsid w:val="00921120"/>
    <w:rsid w:val="009938CC"/>
    <w:rsid w:val="009A7EFB"/>
    <w:rsid w:val="009C32FC"/>
    <w:rsid w:val="00A02359"/>
    <w:rsid w:val="00A34E16"/>
    <w:rsid w:val="00A732E9"/>
    <w:rsid w:val="00A76C9B"/>
    <w:rsid w:val="00A85EE1"/>
    <w:rsid w:val="00A96332"/>
    <w:rsid w:val="00B13812"/>
    <w:rsid w:val="00B637D6"/>
    <w:rsid w:val="00BC10E0"/>
    <w:rsid w:val="00C134FB"/>
    <w:rsid w:val="00C26593"/>
    <w:rsid w:val="00C94A35"/>
    <w:rsid w:val="00CB5FB4"/>
    <w:rsid w:val="00CC0DFF"/>
    <w:rsid w:val="00CF6BC6"/>
    <w:rsid w:val="00D26294"/>
    <w:rsid w:val="00D305D8"/>
    <w:rsid w:val="00D96653"/>
    <w:rsid w:val="00E21502"/>
    <w:rsid w:val="00E55837"/>
    <w:rsid w:val="00EE67C1"/>
    <w:rsid w:val="00EF2316"/>
    <w:rsid w:val="00F04E2C"/>
    <w:rsid w:val="00F94615"/>
    <w:rsid w:val="00FA2617"/>
    <w:rsid w:val="00FA3748"/>
    <w:rsid w:val="00FA730F"/>
    <w:rsid w:val="00FF77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7DC"/>
    <w:rPr>
      <w:color w:val="808080"/>
    </w:rPr>
  </w:style>
  <w:style w:type="paragraph" w:customStyle="1" w:styleId="9DAFFBFF0853450F844E65A9A206E82A">
    <w:name w:val="9DAFFBFF0853450F844E65A9A206E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BIE">
      <a:dk1>
        <a:sysClr val="windowText" lastClr="000000"/>
      </a:dk1>
      <a:lt1>
        <a:sysClr val="window" lastClr="FFFFFF"/>
      </a:lt1>
      <a:dk2>
        <a:srgbClr val="006272"/>
      </a:dk2>
      <a:lt2>
        <a:srgbClr val="FFFFFF"/>
      </a:lt2>
      <a:accent1>
        <a:srgbClr val="97D700"/>
      </a:accent1>
      <a:accent2>
        <a:srgbClr val="00B5E2"/>
      </a:accent2>
      <a:accent3>
        <a:srgbClr val="753BBD"/>
      </a:accent3>
      <a:accent4>
        <a:srgbClr val="DF1995"/>
      </a:accent4>
      <a:accent5>
        <a:srgbClr val="FF6900"/>
      </a:accent5>
      <a:accent6>
        <a:srgbClr val="FBE122"/>
      </a:accent6>
      <a:hlink>
        <a:srgbClr val="006272"/>
      </a:hlink>
      <a:folHlink>
        <a:srgbClr val="97D700"/>
      </a:folHlink>
    </a:clrScheme>
    <a:fontScheme name="MBI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960D-6E4D-4617-AEE1-12F12106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 paper template.dotx</Template>
  <TotalTime>2</TotalTime>
  <Pages>70</Pages>
  <Words>23743</Words>
  <Characters>135340</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New Zealand Grocery Code of Conduct</vt:lpstr>
    </vt:vector>
  </TitlesOfParts>
  <Company>Ministry of Economic Development</Company>
  <LinksUpToDate>false</LinksUpToDate>
  <CharactersWithSpaces>158766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Grocery Code of Conduct</dc:title>
  <dc:creator>Stephen Trebilco</dc:creator>
  <cp:lastModifiedBy>Sally Greenwood</cp:lastModifiedBy>
  <cp:revision>2</cp:revision>
  <cp:lastPrinted>2022-07-05T01:22:00Z</cp:lastPrinted>
  <dcterms:created xsi:type="dcterms:W3CDTF">2022-07-05T22:52:00Z</dcterms:created>
  <dcterms:modified xsi:type="dcterms:W3CDTF">2022-07-05T22:52:00Z</dcterms:modified>
</cp:coreProperties>
</file>