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2B02" w14:textId="77777777" w:rsidR="00FD4571" w:rsidRDefault="00FD4571" w:rsidP="00FD4571">
      <w:pPr>
        <w:pStyle w:val="Heading1-Unnumbered"/>
      </w:pPr>
      <w:r>
        <w:t>Submission template</w:t>
      </w:r>
    </w:p>
    <w:p w14:paraId="3454C365" w14:textId="77777777" w:rsidR="00FD4571" w:rsidRPr="00006BC7" w:rsidRDefault="00FD4571" w:rsidP="00FD4571">
      <w:pPr>
        <w:pStyle w:val="LineTeal"/>
      </w:pPr>
    </w:p>
    <w:p w14:paraId="015C4508" w14:textId="42F86CA2" w:rsidR="00FD4571" w:rsidRDefault="00FD4571" w:rsidP="00FD4571">
      <w:pPr>
        <w:pStyle w:val="Heading3"/>
      </w:pPr>
      <w:r>
        <w:t>Amendments to the Health and Safety at Work (Adventure Activities) Regulations 2016</w:t>
      </w:r>
    </w:p>
    <w:p w14:paraId="78B1B24D" w14:textId="6BC9DA89" w:rsidR="006B43B8" w:rsidRDefault="00342722">
      <w:pPr>
        <w:rPr>
          <w:i/>
          <w:iCs/>
        </w:rPr>
      </w:pPr>
      <w:r>
        <w:t xml:space="preserve">This is the submission template for the consultation paper, </w:t>
      </w:r>
      <w:r w:rsidRPr="00342722">
        <w:rPr>
          <w:i/>
          <w:iCs/>
        </w:rPr>
        <w:t>Amendments to the Health and Safety at Work (Adventure Activities) Regulations 2016</w:t>
      </w:r>
      <w:r>
        <w:rPr>
          <w:i/>
          <w:iCs/>
        </w:rPr>
        <w:t xml:space="preserve">. </w:t>
      </w:r>
    </w:p>
    <w:p w14:paraId="39D1ABA9" w14:textId="5F08B6AD" w:rsidR="00342722" w:rsidRDefault="00342722">
      <w:r>
        <w:t xml:space="preserve">The Ministry of Business, Innovation and Employment (MBIE) seeks written submissions on the issues raised in the discussion paper by </w:t>
      </w:r>
      <w:r w:rsidR="002643F6" w:rsidRPr="002643F6">
        <w:rPr>
          <w:b/>
          <w:bCs/>
        </w:rPr>
        <w:t>1</w:t>
      </w:r>
      <w:r w:rsidR="00915DE6">
        <w:rPr>
          <w:b/>
          <w:bCs/>
        </w:rPr>
        <w:t>8</w:t>
      </w:r>
      <w:r w:rsidRPr="00342722">
        <w:rPr>
          <w:b/>
          <w:bCs/>
        </w:rPr>
        <w:t xml:space="preserve"> April 2023.</w:t>
      </w:r>
      <w:r>
        <w:t xml:space="preserve"> </w:t>
      </w:r>
    </w:p>
    <w:p w14:paraId="5125C1D7" w14:textId="77777777" w:rsidR="006F3F8B" w:rsidRPr="006E0FD5" w:rsidRDefault="006F3F8B" w:rsidP="006F3F8B">
      <w:pPr>
        <w:pStyle w:val="Heading4"/>
        <w:spacing w:before="0"/>
      </w:pPr>
      <w:r>
        <w:t>Submission instructions</w:t>
      </w:r>
    </w:p>
    <w:p w14:paraId="308A297A" w14:textId="77777777" w:rsidR="006F3F8B" w:rsidRDefault="006F3F8B" w:rsidP="006F3F8B">
      <w:pPr>
        <w:pStyle w:val="BodyText"/>
      </w:pPr>
      <w:r>
        <w:t>Please make your submission as follows:</w:t>
      </w:r>
    </w:p>
    <w:p w14:paraId="3F65F507" w14:textId="77777777" w:rsidR="006F3F8B" w:rsidRDefault="006F3F8B" w:rsidP="006F3F8B">
      <w:pPr>
        <w:pStyle w:val="BodyText-Numbered"/>
        <w:numPr>
          <w:ilvl w:val="0"/>
          <w:numId w:val="2"/>
        </w:numPr>
        <w:spacing w:before="0" w:line="240" w:lineRule="auto"/>
        <w:ind w:left="426" w:hanging="426"/>
      </w:pPr>
      <w:r>
        <w:t>Fill out your name and organisation in the table, “Your name and organisation”.</w:t>
      </w:r>
    </w:p>
    <w:p w14:paraId="4575E0DD" w14:textId="77777777" w:rsidR="006F3F8B" w:rsidRDefault="006F3F8B" w:rsidP="006F3F8B">
      <w:pPr>
        <w:pStyle w:val="BodyText-Numbered"/>
        <w:numPr>
          <w:ilvl w:val="0"/>
          <w:numId w:val="2"/>
        </w:numPr>
        <w:spacing w:before="0" w:line="240" w:lineRule="auto"/>
        <w:ind w:left="426" w:hanging="426"/>
      </w:pPr>
      <w:r>
        <w:t xml:space="preserve">Fill out your responses to the consultation document questions in the table, “Responses to discussion paper questions”. Your submission may respond to any or </w:t>
      </w:r>
      <w:proofErr w:type="gramStart"/>
      <w:r>
        <w:t>all of</w:t>
      </w:r>
      <w:proofErr w:type="gramEnd"/>
      <w:r>
        <w:t xml:space="preserve"> the questions in the discussion paper. Where possible, please include evidence to support your views, for example references to independent research, facts and figures, or relevant examples.</w:t>
      </w:r>
    </w:p>
    <w:p w14:paraId="56405786" w14:textId="77777777" w:rsidR="006F3F8B" w:rsidRDefault="006F3F8B" w:rsidP="006F3F8B">
      <w:pPr>
        <w:pStyle w:val="BodyText-Numbered"/>
        <w:numPr>
          <w:ilvl w:val="0"/>
          <w:numId w:val="2"/>
        </w:numPr>
        <w:spacing w:before="0" w:line="240" w:lineRule="auto"/>
        <w:ind w:left="426" w:hanging="426"/>
      </w:pPr>
      <w:r>
        <w:t>We also encourage your input on any other relevant issues in the “Other comments” section below the table.</w:t>
      </w:r>
    </w:p>
    <w:p w14:paraId="7D6A9654" w14:textId="77777777" w:rsidR="006F3F8B" w:rsidRDefault="006F3F8B" w:rsidP="006F3F8B">
      <w:pPr>
        <w:pStyle w:val="BodyText-Numbered"/>
        <w:numPr>
          <w:ilvl w:val="0"/>
          <w:numId w:val="2"/>
        </w:numPr>
        <w:spacing w:before="0" w:line="240" w:lineRule="auto"/>
        <w:ind w:left="426" w:hanging="426"/>
      </w:pPr>
      <w:r>
        <w:t>When preparing to send your submission:</w:t>
      </w:r>
    </w:p>
    <w:p w14:paraId="7D160EDF" w14:textId="6CD91478" w:rsidR="006F3F8B" w:rsidRPr="00280A9C" w:rsidRDefault="006F3F8B" w:rsidP="006F3F8B">
      <w:pPr>
        <w:pStyle w:val="ListParagraph"/>
        <w:numPr>
          <w:ilvl w:val="1"/>
          <w:numId w:val="2"/>
        </w:numPr>
        <w:spacing w:after="120"/>
        <w:ind w:left="851" w:hanging="425"/>
      </w:pPr>
      <w:r>
        <w:t xml:space="preserve">Delete </w:t>
      </w:r>
      <w:r w:rsidR="003B56F7">
        <w:t xml:space="preserve">this </w:t>
      </w:r>
      <w:r>
        <w:t>first page of instructions.</w:t>
      </w:r>
    </w:p>
    <w:p w14:paraId="3BC7D675" w14:textId="5EF32160" w:rsidR="003B56F7" w:rsidRDefault="006F3F8B" w:rsidP="006F3F8B">
      <w:pPr>
        <w:pStyle w:val="BodyText-Numbered"/>
        <w:numPr>
          <w:ilvl w:val="1"/>
          <w:numId w:val="2"/>
        </w:numPr>
        <w:spacing w:before="0" w:line="240" w:lineRule="auto"/>
        <w:ind w:left="851" w:hanging="425"/>
      </w:pPr>
      <w:r>
        <w:t>Include your e-mail address in the e-mail or cover letter accompanying your submission – we may contact submitters directly if we require clarification of any matters in submissions.</w:t>
      </w:r>
      <w:r w:rsidR="003B56F7">
        <w:t xml:space="preserve"> </w:t>
      </w:r>
    </w:p>
    <w:p w14:paraId="524572AD" w14:textId="30543B5D" w:rsidR="006F3F8B" w:rsidRDefault="003B56F7" w:rsidP="006F3F8B">
      <w:pPr>
        <w:pStyle w:val="BodyText-Numbered"/>
        <w:numPr>
          <w:ilvl w:val="1"/>
          <w:numId w:val="2"/>
        </w:numPr>
        <w:spacing w:before="0" w:line="240" w:lineRule="auto"/>
        <w:ind w:left="851" w:hanging="425"/>
      </w:pPr>
      <w:r>
        <w:t xml:space="preserve">If you do not wish for your submission to be </w:t>
      </w:r>
      <w:proofErr w:type="gramStart"/>
      <w:r>
        <w:t>published</w:t>
      </w:r>
      <w:proofErr w:type="gramEnd"/>
      <w:r>
        <w:t xml:space="preserve"> please clearly indicate this in the cover letter or e-mail accompanying your submission. However, please note that submissions remain subject to request under the Official Information Act 1982. MBIE will consult with submitters when responding to requests under the Official Information Act 1982</w:t>
      </w:r>
      <w:r w:rsidR="003301AA">
        <w:t>.</w:t>
      </w:r>
    </w:p>
    <w:p w14:paraId="061D1C72" w14:textId="77777777" w:rsidR="006F3F8B" w:rsidRDefault="006F3F8B" w:rsidP="003301AA">
      <w:pPr>
        <w:pStyle w:val="BodyText-Numbered"/>
        <w:numPr>
          <w:ilvl w:val="0"/>
          <w:numId w:val="2"/>
        </w:numPr>
      </w:pPr>
      <w:r>
        <w:t>Send your submission:</w:t>
      </w:r>
    </w:p>
    <w:p w14:paraId="2003E99C" w14:textId="527DBB1F" w:rsidR="006F3F8B" w:rsidRDefault="006F3F8B" w:rsidP="006F3F8B">
      <w:pPr>
        <w:pStyle w:val="ListParagraph"/>
        <w:numPr>
          <w:ilvl w:val="0"/>
          <w:numId w:val="3"/>
        </w:numPr>
      </w:pPr>
      <w:r>
        <w:t xml:space="preserve">as a Microsoft Word document or searchable PDF to </w:t>
      </w:r>
      <w:hyperlink r:id="rId7" w:history="1">
        <w:r w:rsidR="00D9530B" w:rsidRPr="006B26EB">
          <w:rPr>
            <w:rStyle w:val="Hyperlink"/>
          </w:rPr>
          <w:t>HSWRegs@mbie.govt.nz</w:t>
        </w:r>
      </w:hyperlink>
      <w:r w:rsidR="00D9530B">
        <w:t xml:space="preserve"> </w:t>
      </w:r>
      <w:r w:rsidRPr="006F3F8B">
        <w:rPr>
          <w:b/>
          <w:bCs/>
        </w:rPr>
        <w:t>(preferred)</w:t>
      </w:r>
      <w:r>
        <w:t>, or</w:t>
      </w:r>
    </w:p>
    <w:p w14:paraId="30AF6A25" w14:textId="6B2E4F29" w:rsidR="006F3F8B" w:rsidRDefault="006F3F8B" w:rsidP="006F3F8B">
      <w:pPr>
        <w:pStyle w:val="ListParagraph"/>
        <w:numPr>
          <w:ilvl w:val="0"/>
          <w:numId w:val="3"/>
        </w:numPr>
      </w:pPr>
      <w:r>
        <w:t>by mailing your submission to:</w:t>
      </w:r>
    </w:p>
    <w:p w14:paraId="6A9FC19E" w14:textId="77777777" w:rsidR="003222FE" w:rsidRDefault="003222FE" w:rsidP="003222FE">
      <w:pPr>
        <w:pStyle w:val="ListParagraph"/>
      </w:pPr>
    </w:p>
    <w:p w14:paraId="2D7B85A9" w14:textId="2AAFE53D" w:rsidR="003222FE" w:rsidRPr="003222FE" w:rsidRDefault="003222FE" w:rsidP="003222FE">
      <w:pPr>
        <w:pStyle w:val="ListParagraph"/>
        <w:rPr>
          <w:rFonts w:asciiTheme="majorHAnsi" w:hAnsiTheme="majorHAnsi" w:cstheme="majorHAnsi"/>
          <w:i/>
          <w:iCs/>
        </w:rPr>
      </w:pPr>
      <w:bookmarkStart w:id="0" w:name="_Hlk127177663"/>
      <w:r w:rsidRPr="003222FE">
        <w:rPr>
          <w:rFonts w:asciiTheme="majorHAnsi" w:hAnsiTheme="majorHAnsi" w:cstheme="majorHAnsi"/>
          <w:i/>
          <w:iCs/>
        </w:rPr>
        <w:t>Health and Safety Policy Team</w:t>
      </w:r>
    </w:p>
    <w:p w14:paraId="76C361E8" w14:textId="77777777" w:rsidR="003222FE" w:rsidRPr="003222FE" w:rsidRDefault="003222FE" w:rsidP="003222FE">
      <w:pPr>
        <w:pStyle w:val="ListParagraph"/>
        <w:rPr>
          <w:rFonts w:asciiTheme="majorHAnsi" w:hAnsiTheme="majorHAnsi" w:cstheme="majorHAnsi"/>
          <w:i/>
          <w:iCs/>
        </w:rPr>
      </w:pPr>
      <w:r w:rsidRPr="003222FE">
        <w:rPr>
          <w:rFonts w:asciiTheme="majorHAnsi" w:hAnsiTheme="majorHAnsi" w:cstheme="majorHAnsi"/>
          <w:i/>
          <w:iCs/>
        </w:rPr>
        <w:t>Labour, Science and Enterprise</w:t>
      </w:r>
    </w:p>
    <w:p w14:paraId="4090065B" w14:textId="77777777" w:rsidR="003222FE" w:rsidRPr="003222FE" w:rsidRDefault="003222FE" w:rsidP="003222FE">
      <w:pPr>
        <w:pStyle w:val="ListParagraph"/>
        <w:rPr>
          <w:rFonts w:asciiTheme="majorHAnsi" w:hAnsiTheme="majorHAnsi" w:cstheme="majorHAnsi"/>
          <w:i/>
          <w:iCs/>
        </w:rPr>
      </w:pPr>
      <w:r w:rsidRPr="003222FE">
        <w:rPr>
          <w:rFonts w:asciiTheme="majorHAnsi" w:hAnsiTheme="majorHAnsi" w:cstheme="majorHAnsi"/>
          <w:i/>
          <w:iCs/>
        </w:rPr>
        <w:t xml:space="preserve">Ministry of Business, Innovation &amp; Employment </w:t>
      </w:r>
    </w:p>
    <w:p w14:paraId="70509B4F" w14:textId="77777777" w:rsidR="003222FE" w:rsidRPr="003222FE" w:rsidRDefault="003222FE" w:rsidP="003222FE">
      <w:pPr>
        <w:pStyle w:val="ListParagraph"/>
        <w:rPr>
          <w:rFonts w:asciiTheme="majorHAnsi" w:hAnsiTheme="majorHAnsi" w:cstheme="majorHAnsi"/>
          <w:i/>
          <w:iCs/>
        </w:rPr>
      </w:pPr>
      <w:r w:rsidRPr="003222FE">
        <w:rPr>
          <w:rFonts w:asciiTheme="majorHAnsi" w:hAnsiTheme="majorHAnsi" w:cstheme="majorHAnsi"/>
          <w:i/>
          <w:iCs/>
        </w:rPr>
        <w:t xml:space="preserve">PO Box 1473 </w:t>
      </w:r>
    </w:p>
    <w:p w14:paraId="5F632620" w14:textId="77777777" w:rsidR="003222FE" w:rsidRPr="003222FE" w:rsidRDefault="003222FE" w:rsidP="003222FE">
      <w:pPr>
        <w:pStyle w:val="ListParagraph"/>
        <w:spacing w:after="120"/>
        <w:rPr>
          <w:rFonts w:asciiTheme="majorHAnsi" w:hAnsiTheme="majorHAnsi" w:cstheme="majorHAnsi"/>
          <w:i/>
          <w:iCs/>
        </w:rPr>
      </w:pPr>
      <w:r w:rsidRPr="003222FE">
        <w:rPr>
          <w:rFonts w:asciiTheme="majorHAnsi" w:hAnsiTheme="majorHAnsi" w:cstheme="majorHAnsi"/>
          <w:i/>
          <w:iCs/>
        </w:rPr>
        <w:t xml:space="preserve">Wellington 6140 </w:t>
      </w:r>
    </w:p>
    <w:bookmarkEnd w:id="0"/>
    <w:p w14:paraId="3569D4AD" w14:textId="6BD55091" w:rsidR="00052865" w:rsidRDefault="00D9530B">
      <w:r>
        <w:t xml:space="preserve">Please direct any questions that you have in relation to the submissions process to: </w:t>
      </w:r>
      <w:hyperlink r:id="rId8" w:history="1">
        <w:r w:rsidRPr="006B26EB">
          <w:rPr>
            <w:rStyle w:val="Hyperlink"/>
          </w:rPr>
          <w:t>HSWRegs@mbie.govt.nz</w:t>
        </w:r>
      </w:hyperlink>
    </w:p>
    <w:p w14:paraId="0FF85C97" w14:textId="64A90E16" w:rsidR="00052865" w:rsidRPr="00086F08" w:rsidRDefault="00086F08" w:rsidP="00086F08">
      <w:pPr>
        <w:pStyle w:val="Heading3"/>
        <w:rPr>
          <w:rStyle w:val="Heading2Char"/>
          <w:rFonts w:ascii="Calibri" w:eastAsia="Times New Roman" w:hAnsi="Calibri" w:cs="Times New Roman"/>
          <w:color w:val="006272"/>
          <w:sz w:val="30"/>
          <w:szCs w:val="22"/>
        </w:rPr>
      </w:pPr>
      <w:r>
        <w:lastRenderedPageBreak/>
        <w:t xml:space="preserve">Submission </w:t>
      </w:r>
      <w:r w:rsidR="00B608A3">
        <w:t>on Amendments to the Health and Safety at Work (Adventure Activities) Regulations 2016.</w:t>
      </w:r>
    </w:p>
    <w:p w14:paraId="2994AF88" w14:textId="77777777" w:rsidR="00052865" w:rsidRDefault="00052865" w:rsidP="00052865">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58"/>
      </w:tblGrid>
      <w:tr w:rsidR="00052865" w:rsidRPr="00AE6026" w14:paraId="2D9D8239" w14:textId="77777777" w:rsidTr="0055258C">
        <w:tc>
          <w:tcPr>
            <w:tcW w:w="1668" w:type="dxa"/>
            <w:tcBorders>
              <w:left w:val="single" w:sz="4" w:space="0" w:color="006666"/>
            </w:tcBorders>
            <w:shd w:val="clear" w:color="auto" w:fill="auto"/>
          </w:tcPr>
          <w:p w14:paraId="71AF3A60" w14:textId="77777777" w:rsidR="00052865" w:rsidRPr="00AE6026" w:rsidRDefault="00052865" w:rsidP="0055258C">
            <w:pPr>
              <w:rPr>
                <w:b/>
                <w:bCs/>
              </w:rPr>
            </w:pPr>
            <w:r w:rsidRPr="00AE6026">
              <w:rPr>
                <w:b/>
                <w:bCs/>
              </w:rPr>
              <w:t>Name</w:t>
            </w:r>
          </w:p>
        </w:tc>
        <w:tc>
          <w:tcPr>
            <w:tcW w:w="7618" w:type="dxa"/>
            <w:tcBorders>
              <w:right w:val="single" w:sz="4" w:space="0" w:color="006666"/>
            </w:tcBorders>
            <w:shd w:val="clear" w:color="auto" w:fill="auto"/>
          </w:tcPr>
          <w:p w14:paraId="6A5F78BF" w14:textId="77777777" w:rsidR="00052865" w:rsidRDefault="00052865" w:rsidP="0055258C"/>
          <w:p w14:paraId="6BA82B99" w14:textId="77777777" w:rsidR="00052865" w:rsidRPr="00AE6026" w:rsidRDefault="00052865" w:rsidP="0055258C"/>
        </w:tc>
      </w:tr>
      <w:tr w:rsidR="00052865" w:rsidRPr="00AE6026" w14:paraId="773B1F2B" w14:textId="77777777" w:rsidTr="0055258C">
        <w:tc>
          <w:tcPr>
            <w:tcW w:w="1668" w:type="dxa"/>
            <w:tcBorders>
              <w:left w:val="single" w:sz="4" w:space="0" w:color="006666"/>
            </w:tcBorders>
            <w:shd w:val="clear" w:color="auto" w:fill="auto"/>
          </w:tcPr>
          <w:p w14:paraId="0E997F14" w14:textId="77777777" w:rsidR="00052865" w:rsidRPr="00AE6026" w:rsidRDefault="00052865" w:rsidP="0055258C">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31ACE8D9" w14:textId="77777777" w:rsidR="00052865" w:rsidRDefault="00052865" w:rsidP="0055258C"/>
          <w:p w14:paraId="516DAAB7" w14:textId="77777777" w:rsidR="00052865" w:rsidRPr="00AE6026" w:rsidRDefault="00052865" w:rsidP="0055258C"/>
        </w:tc>
      </w:tr>
    </w:tbl>
    <w:p w14:paraId="2C80C8EE" w14:textId="3227BC05" w:rsidR="00052865" w:rsidRDefault="00052865" w:rsidP="00052865"/>
    <w:p w14:paraId="6F061913" w14:textId="77777777" w:rsidR="00052865" w:rsidRDefault="00052865" w:rsidP="00052865">
      <w:pPr>
        <w:pStyle w:val="Heading3"/>
      </w:pPr>
      <w:r>
        <w:t xml:space="preserve">Responses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89"/>
      </w:tblGrid>
      <w:tr w:rsidR="00052865" w:rsidRPr="00BB2C3B" w14:paraId="0983E45B" w14:textId="77777777" w:rsidTr="001C7315">
        <w:tc>
          <w:tcPr>
            <w:tcW w:w="9016" w:type="dxa"/>
            <w:gridSpan w:val="2"/>
            <w:shd w:val="clear" w:color="auto" w:fill="006272"/>
            <w:vAlign w:val="center"/>
          </w:tcPr>
          <w:p w14:paraId="6BA08E67" w14:textId="22DB7E0F" w:rsidR="00052865" w:rsidRPr="00052865" w:rsidRDefault="00052865" w:rsidP="0055258C">
            <w:pPr>
              <w:rPr>
                <w:rFonts w:eastAsia="Calibri" w:cs="Calibri"/>
                <w:b/>
                <w:bCs/>
                <w:color w:val="FFFFFF" w:themeColor="background1"/>
                <w:lang w:val="en-US"/>
              </w:rPr>
            </w:pPr>
            <w:r>
              <w:rPr>
                <w:rFonts w:eastAsia="Calibri" w:cs="Calibri"/>
                <w:b/>
                <w:bCs/>
                <w:color w:val="FFFFFF" w:themeColor="background1"/>
                <w:lang w:val="en-US"/>
              </w:rPr>
              <w:t xml:space="preserve">Introducing a risk communication duty </w:t>
            </w:r>
          </w:p>
        </w:tc>
      </w:tr>
      <w:tr w:rsidR="00641B54" w:rsidRPr="00BB2C3B" w14:paraId="2B41FCEE" w14:textId="77777777" w:rsidTr="00641B54">
        <w:tc>
          <w:tcPr>
            <w:tcW w:w="527" w:type="dxa"/>
            <w:vMerge w:val="restart"/>
            <w:shd w:val="clear" w:color="auto" w:fill="006272"/>
            <w:vAlign w:val="center"/>
          </w:tcPr>
          <w:p w14:paraId="289F11C2" w14:textId="43E80857" w:rsidR="00641B54" w:rsidRPr="00052865" w:rsidRDefault="00641B54" w:rsidP="0055258C">
            <w:pPr>
              <w:pStyle w:val="Questionnumber"/>
              <w:numPr>
                <w:ilvl w:val="0"/>
                <w:numId w:val="0"/>
              </w:numPr>
              <w:rPr>
                <w:color w:val="FFFFFF" w:themeColor="background1"/>
              </w:rPr>
            </w:pPr>
            <w:r>
              <w:rPr>
                <w:color w:val="FFFFFF" w:themeColor="background1"/>
              </w:rPr>
              <w:t>1</w:t>
            </w:r>
          </w:p>
        </w:tc>
        <w:tc>
          <w:tcPr>
            <w:tcW w:w="8489" w:type="dxa"/>
            <w:tcBorders>
              <w:bottom w:val="nil"/>
            </w:tcBorders>
            <w:shd w:val="clear" w:color="auto" w:fill="auto"/>
            <w:vAlign w:val="center"/>
          </w:tcPr>
          <w:p w14:paraId="1935426D" w14:textId="35C8FB9E" w:rsidR="00641B54" w:rsidRPr="00951517" w:rsidRDefault="00951517" w:rsidP="00052865">
            <w:pPr>
              <w:spacing w:line="257" w:lineRule="auto"/>
              <w:rPr>
                <w:i/>
                <w:iCs/>
              </w:rPr>
            </w:pPr>
            <w:r w:rsidRPr="00951517">
              <w:rPr>
                <w:i/>
                <w:iCs/>
              </w:rPr>
              <w:t>Do you consider this duty requiring operators to have processes in place to communicate risks will be effective and workable for operators? If not, please explain why.</w:t>
            </w:r>
          </w:p>
        </w:tc>
      </w:tr>
      <w:tr w:rsidR="00641B54" w:rsidRPr="00BB2C3B" w14:paraId="10161DE0" w14:textId="77777777" w:rsidTr="00641B54">
        <w:tc>
          <w:tcPr>
            <w:tcW w:w="527" w:type="dxa"/>
            <w:vMerge/>
            <w:shd w:val="clear" w:color="auto" w:fill="006272"/>
            <w:vAlign w:val="center"/>
          </w:tcPr>
          <w:p w14:paraId="26B869EE" w14:textId="77777777" w:rsidR="00641B54" w:rsidRDefault="00641B54" w:rsidP="0055258C">
            <w:pPr>
              <w:pStyle w:val="Questionnumber"/>
              <w:numPr>
                <w:ilvl w:val="0"/>
                <w:numId w:val="0"/>
              </w:numPr>
              <w:rPr>
                <w:color w:val="FFFFFF" w:themeColor="background1"/>
              </w:rPr>
            </w:pPr>
          </w:p>
        </w:tc>
        <w:tc>
          <w:tcPr>
            <w:tcW w:w="8489" w:type="dxa"/>
            <w:tcBorders>
              <w:top w:val="nil"/>
            </w:tcBorders>
            <w:shd w:val="clear" w:color="auto" w:fill="auto"/>
            <w:vAlign w:val="center"/>
          </w:tcPr>
          <w:p w14:paraId="3496D7FB" w14:textId="77777777" w:rsidR="00641B54" w:rsidRDefault="00641B54" w:rsidP="00052865">
            <w:pPr>
              <w:spacing w:line="257" w:lineRule="auto"/>
            </w:pPr>
          </w:p>
          <w:p w14:paraId="0BC4985F" w14:textId="47A8DF99" w:rsidR="00641B54" w:rsidRDefault="00641B54" w:rsidP="00052865">
            <w:pPr>
              <w:spacing w:line="257" w:lineRule="auto"/>
            </w:pPr>
          </w:p>
        </w:tc>
      </w:tr>
      <w:tr w:rsidR="00052865" w:rsidRPr="33C78DCB" w14:paraId="14D079F4" w14:textId="77777777" w:rsidTr="00052865">
        <w:trPr>
          <w:trHeight w:val="332"/>
        </w:trPr>
        <w:tc>
          <w:tcPr>
            <w:tcW w:w="9016" w:type="dxa"/>
            <w:gridSpan w:val="2"/>
            <w:shd w:val="clear" w:color="auto" w:fill="006272"/>
            <w:vAlign w:val="center"/>
          </w:tcPr>
          <w:p w14:paraId="1F157259" w14:textId="0771D6F4" w:rsidR="00052865" w:rsidRPr="00052865" w:rsidRDefault="00052865" w:rsidP="0055258C">
            <w:pPr>
              <w:jc w:val="both"/>
              <w:rPr>
                <w:rFonts w:eastAsia="Calibri" w:cs="Calibri"/>
                <w:b/>
                <w:bCs/>
                <w:color w:val="FFFFFF" w:themeColor="background1"/>
                <w:lang w:val="en-US"/>
              </w:rPr>
            </w:pPr>
            <w:r>
              <w:rPr>
                <w:rFonts w:eastAsia="Calibri" w:cs="Calibri"/>
                <w:b/>
                <w:bCs/>
                <w:color w:val="FFFFFF" w:themeColor="background1"/>
                <w:lang w:val="en-US"/>
              </w:rPr>
              <w:t>New registration process</w:t>
            </w:r>
          </w:p>
        </w:tc>
      </w:tr>
      <w:tr w:rsidR="00641B54" w:rsidRPr="33C78DCB" w14:paraId="4D8D0903" w14:textId="77777777" w:rsidTr="00641B54">
        <w:trPr>
          <w:trHeight w:val="971"/>
        </w:trPr>
        <w:tc>
          <w:tcPr>
            <w:tcW w:w="527" w:type="dxa"/>
            <w:vMerge w:val="restart"/>
            <w:shd w:val="clear" w:color="auto" w:fill="006272"/>
            <w:vAlign w:val="center"/>
          </w:tcPr>
          <w:p w14:paraId="56858F63" w14:textId="3794BD35" w:rsidR="00641B54" w:rsidRPr="00AE6026" w:rsidRDefault="00641B54" w:rsidP="0055258C">
            <w:pPr>
              <w:pStyle w:val="Questionnumber"/>
              <w:numPr>
                <w:ilvl w:val="0"/>
                <w:numId w:val="0"/>
              </w:numPr>
              <w:jc w:val="left"/>
            </w:pPr>
            <w:r>
              <w:t>2</w:t>
            </w:r>
          </w:p>
        </w:tc>
        <w:tc>
          <w:tcPr>
            <w:tcW w:w="8489" w:type="dxa"/>
            <w:tcBorders>
              <w:bottom w:val="nil"/>
            </w:tcBorders>
            <w:shd w:val="clear" w:color="auto" w:fill="auto"/>
            <w:vAlign w:val="center"/>
          </w:tcPr>
          <w:p w14:paraId="5CDAB635" w14:textId="296BA13F" w:rsidR="00641B54" w:rsidRPr="00951517" w:rsidRDefault="00951517" w:rsidP="0055258C">
            <w:pPr>
              <w:jc w:val="both"/>
              <w:rPr>
                <w:rFonts w:eastAsia="Calibri" w:cs="Calibri"/>
                <w:i/>
                <w:iCs/>
                <w:lang w:val="en-US"/>
              </w:rPr>
            </w:pPr>
            <w:r w:rsidRPr="00951517">
              <w:rPr>
                <w:i/>
                <w:iCs/>
              </w:rPr>
              <w:t xml:space="preserve">Do you consider that the new registration process will be effective and workable for operators? If not, please explain why and any potential issues you see in this new process. </w:t>
            </w:r>
            <w:r w:rsidR="00641B54" w:rsidRPr="00951517">
              <w:rPr>
                <w:i/>
                <w:iCs/>
              </w:rPr>
              <w:t xml:space="preserve"> </w:t>
            </w:r>
          </w:p>
        </w:tc>
      </w:tr>
      <w:tr w:rsidR="00641B54" w:rsidRPr="33C78DCB" w14:paraId="4115F398" w14:textId="77777777" w:rsidTr="00641B54">
        <w:trPr>
          <w:trHeight w:val="598"/>
        </w:trPr>
        <w:tc>
          <w:tcPr>
            <w:tcW w:w="527" w:type="dxa"/>
            <w:vMerge/>
            <w:shd w:val="clear" w:color="auto" w:fill="006272"/>
            <w:vAlign w:val="center"/>
          </w:tcPr>
          <w:p w14:paraId="7191E6C5" w14:textId="77777777" w:rsidR="00641B54" w:rsidRDefault="00641B54" w:rsidP="0055258C">
            <w:pPr>
              <w:pStyle w:val="Questionnumber"/>
              <w:numPr>
                <w:ilvl w:val="0"/>
                <w:numId w:val="0"/>
              </w:numPr>
              <w:jc w:val="left"/>
            </w:pPr>
          </w:p>
        </w:tc>
        <w:tc>
          <w:tcPr>
            <w:tcW w:w="8489" w:type="dxa"/>
            <w:tcBorders>
              <w:top w:val="nil"/>
            </w:tcBorders>
            <w:shd w:val="clear" w:color="auto" w:fill="auto"/>
            <w:vAlign w:val="center"/>
          </w:tcPr>
          <w:p w14:paraId="0202FCCC" w14:textId="77777777" w:rsidR="00641B54" w:rsidRDefault="00641B54" w:rsidP="0055258C">
            <w:pPr>
              <w:jc w:val="both"/>
            </w:pPr>
          </w:p>
          <w:p w14:paraId="054EF4E7" w14:textId="02AEABD7" w:rsidR="00641B54" w:rsidRDefault="00641B54" w:rsidP="0055258C">
            <w:pPr>
              <w:jc w:val="both"/>
            </w:pPr>
          </w:p>
        </w:tc>
      </w:tr>
      <w:tr w:rsidR="00641B54" w:rsidRPr="33C78DCB" w14:paraId="41CE85DD" w14:textId="77777777" w:rsidTr="00641B54">
        <w:trPr>
          <w:trHeight w:val="971"/>
        </w:trPr>
        <w:tc>
          <w:tcPr>
            <w:tcW w:w="527" w:type="dxa"/>
            <w:vMerge w:val="restart"/>
            <w:shd w:val="clear" w:color="auto" w:fill="006272"/>
            <w:vAlign w:val="center"/>
          </w:tcPr>
          <w:p w14:paraId="4D0BBFD3" w14:textId="2AF252A4" w:rsidR="00641B54" w:rsidRDefault="00641B54" w:rsidP="0055258C">
            <w:pPr>
              <w:pStyle w:val="Questionnumber"/>
              <w:numPr>
                <w:ilvl w:val="0"/>
                <w:numId w:val="0"/>
              </w:numPr>
              <w:jc w:val="left"/>
            </w:pPr>
            <w:r>
              <w:t>3</w:t>
            </w:r>
          </w:p>
        </w:tc>
        <w:tc>
          <w:tcPr>
            <w:tcW w:w="8489" w:type="dxa"/>
            <w:tcBorders>
              <w:bottom w:val="nil"/>
            </w:tcBorders>
            <w:shd w:val="clear" w:color="auto" w:fill="auto"/>
            <w:vAlign w:val="center"/>
          </w:tcPr>
          <w:p w14:paraId="56CAEC0D" w14:textId="77B7F54E" w:rsidR="00641B54" w:rsidRPr="00951517" w:rsidRDefault="00951517" w:rsidP="0055258C">
            <w:pPr>
              <w:jc w:val="both"/>
              <w:rPr>
                <w:i/>
                <w:iCs/>
              </w:rPr>
            </w:pPr>
            <w:r w:rsidRPr="00951517">
              <w:rPr>
                <w:i/>
                <w:iCs/>
              </w:rPr>
              <w:t>Do you consider the proposed rights for operators to request decisions by the Registrar be reviewed and to appeal are appropriate? If not, please explain why.</w:t>
            </w:r>
          </w:p>
        </w:tc>
      </w:tr>
      <w:tr w:rsidR="00641B54" w:rsidRPr="33C78DCB" w14:paraId="16EADE9A" w14:textId="77777777" w:rsidTr="00641B54">
        <w:trPr>
          <w:trHeight w:val="281"/>
        </w:trPr>
        <w:tc>
          <w:tcPr>
            <w:tcW w:w="527" w:type="dxa"/>
            <w:vMerge/>
            <w:shd w:val="clear" w:color="auto" w:fill="006272"/>
            <w:vAlign w:val="center"/>
          </w:tcPr>
          <w:p w14:paraId="1E904592" w14:textId="77777777" w:rsidR="00641B54" w:rsidRDefault="00641B54" w:rsidP="0055258C">
            <w:pPr>
              <w:pStyle w:val="Questionnumber"/>
              <w:numPr>
                <w:ilvl w:val="0"/>
                <w:numId w:val="0"/>
              </w:numPr>
              <w:jc w:val="left"/>
            </w:pPr>
          </w:p>
        </w:tc>
        <w:tc>
          <w:tcPr>
            <w:tcW w:w="8489" w:type="dxa"/>
            <w:tcBorders>
              <w:top w:val="nil"/>
            </w:tcBorders>
            <w:shd w:val="clear" w:color="auto" w:fill="auto"/>
            <w:vAlign w:val="center"/>
          </w:tcPr>
          <w:p w14:paraId="50FC8607" w14:textId="77777777" w:rsidR="00641B54" w:rsidRDefault="00641B54" w:rsidP="0055258C">
            <w:pPr>
              <w:jc w:val="both"/>
            </w:pPr>
          </w:p>
          <w:p w14:paraId="1FC9AC7C" w14:textId="635863E0" w:rsidR="00641B54" w:rsidRDefault="00641B54" w:rsidP="0055258C">
            <w:pPr>
              <w:jc w:val="both"/>
            </w:pPr>
          </w:p>
        </w:tc>
      </w:tr>
      <w:tr w:rsidR="00052865" w:rsidRPr="33C78DCB" w14:paraId="15201D10" w14:textId="77777777" w:rsidTr="00052865">
        <w:trPr>
          <w:trHeight w:val="422"/>
        </w:trPr>
        <w:tc>
          <w:tcPr>
            <w:tcW w:w="9016" w:type="dxa"/>
            <w:gridSpan w:val="2"/>
            <w:shd w:val="clear" w:color="auto" w:fill="006272"/>
            <w:vAlign w:val="center"/>
          </w:tcPr>
          <w:p w14:paraId="4A896CCF" w14:textId="64D70C8A" w:rsidR="00052865" w:rsidRPr="00442958" w:rsidRDefault="00442958" w:rsidP="0055258C">
            <w:pPr>
              <w:jc w:val="both"/>
              <w:rPr>
                <w:b/>
                <w:bCs/>
                <w:color w:val="FFFFFF" w:themeColor="background1"/>
              </w:rPr>
            </w:pPr>
            <w:r>
              <w:rPr>
                <w:b/>
                <w:bCs/>
                <w:color w:val="FFFFFF" w:themeColor="background1"/>
              </w:rPr>
              <w:t>Powers to suspend, cancel and refuse registration</w:t>
            </w:r>
          </w:p>
        </w:tc>
      </w:tr>
      <w:tr w:rsidR="00641B54" w:rsidRPr="33C78DCB" w14:paraId="0D8563E4" w14:textId="77777777" w:rsidTr="00641B54">
        <w:trPr>
          <w:trHeight w:val="971"/>
        </w:trPr>
        <w:tc>
          <w:tcPr>
            <w:tcW w:w="527" w:type="dxa"/>
            <w:vMerge w:val="restart"/>
            <w:shd w:val="clear" w:color="auto" w:fill="006272"/>
            <w:vAlign w:val="center"/>
          </w:tcPr>
          <w:p w14:paraId="6F380845" w14:textId="290905C4" w:rsidR="00641B54" w:rsidRDefault="00641B54" w:rsidP="0055258C">
            <w:pPr>
              <w:pStyle w:val="Questionnumber"/>
              <w:numPr>
                <w:ilvl w:val="0"/>
                <w:numId w:val="0"/>
              </w:numPr>
              <w:jc w:val="left"/>
            </w:pPr>
            <w:r>
              <w:t>4</w:t>
            </w:r>
          </w:p>
        </w:tc>
        <w:tc>
          <w:tcPr>
            <w:tcW w:w="8489" w:type="dxa"/>
            <w:tcBorders>
              <w:bottom w:val="nil"/>
            </w:tcBorders>
            <w:shd w:val="clear" w:color="auto" w:fill="auto"/>
            <w:vAlign w:val="center"/>
          </w:tcPr>
          <w:p w14:paraId="53A21ED3" w14:textId="523A5418" w:rsidR="00641B54" w:rsidRPr="00951517" w:rsidRDefault="00951517" w:rsidP="0055258C">
            <w:pPr>
              <w:jc w:val="both"/>
              <w:rPr>
                <w:i/>
                <w:iCs/>
              </w:rPr>
            </w:pPr>
            <w:r w:rsidRPr="00951517">
              <w:rPr>
                <w:i/>
                <w:iCs/>
              </w:rPr>
              <w:t xml:space="preserve">Do you consider these changes to where the Registrar can cancel, </w:t>
            </w:r>
            <w:proofErr w:type="gramStart"/>
            <w:r w:rsidRPr="00951517">
              <w:rPr>
                <w:i/>
                <w:iCs/>
              </w:rPr>
              <w:t>suspend</w:t>
            </w:r>
            <w:proofErr w:type="gramEnd"/>
            <w:r w:rsidRPr="00951517">
              <w:rPr>
                <w:i/>
                <w:iCs/>
              </w:rPr>
              <w:t xml:space="preserve"> and refuse registrations will be effective and workable?  If not, please explain why.</w:t>
            </w:r>
          </w:p>
        </w:tc>
      </w:tr>
      <w:tr w:rsidR="00641B54" w:rsidRPr="33C78DCB" w14:paraId="55359F26" w14:textId="77777777" w:rsidTr="00641B54">
        <w:trPr>
          <w:trHeight w:val="971"/>
        </w:trPr>
        <w:tc>
          <w:tcPr>
            <w:tcW w:w="527" w:type="dxa"/>
            <w:vMerge/>
            <w:shd w:val="clear" w:color="auto" w:fill="006272"/>
            <w:vAlign w:val="center"/>
          </w:tcPr>
          <w:p w14:paraId="7C555C78" w14:textId="77777777" w:rsidR="00641B54" w:rsidRDefault="00641B54" w:rsidP="0055258C">
            <w:pPr>
              <w:pStyle w:val="Questionnumber"/>
              <w:numPr>
                <w:ilvl w:val="0"/>
                <w:numId w:val="0"/>
              </w:numPr>
              <w:jc w:val="left"/>
            </w:pPr>
          </w:p>
        </w:tc>
        <w:tc>
          <w:tcPr>
            <w:tcW w:w="8489" w:type="dxa"/>
            <w:tcBorders>
              <w:top w:val="nil"/>
            </w:tcBorders>
            <w:shd w:val="clear" w:color="auto" w:fill="auto"/>
            <w:vAlign w:val="center"/>
          </w:tcPr>
          <w:p w14:paraId="5040F42F" w14:textId="77777777" w:rsidR="00641B54" w:rsidRDefault="00641B54" w:rsidP="0055258C">
            <w:pPr>
              <w:jc w:val="both"/>
            </w:pPr>
          </w:p>
          <w:p w14:paraId="71C95E5A" w14:textId="11AD685C" w:rsidR="00641B54" w:rsidRDefault="00641B54" w:rsidP="0055258C">
            <w:pPr>
              <w:jc w:val="both"/>
            </w:pPr>
          </w:p>
        </w:tc>
      </w:tr>
      <w:tr w:rsidR="00442958" w:rsidRPr="33C78DCB" w14:paraId="55A36CD5" w14:textId="77777777" w:rsidTr="00442958">
        <w:trPr>
          <w:trHeight w:val="530"/>
        </w:trPr>
        <w:tc>
          <w:tcPr>
            <w:tcW w:w="9016" w:type="dxa"/>
            <w:gridSpan w:val="2"/>
            <w:shd w:val="clear" w:color="auto" w:fill="006272"/>
            <w:vAlign w:val="center"/>
          </w:tcPr>
          <w:p w14:paraId="6301C304" w14:textId="2633C7EF" w:rsidR="00442958" w:rsidRPr="00442958" w:rsidRDefault="00442958" w:rsidP="0055258C">
            <w:pPr>
              <w:jc w:val="both"/>
              <w:rPr>
                <w:b/>
                <w:bCs/>
                <w:color w:val="FFFFFF" w:themeColor="background1"/>
              </w:rPr>
            </w:pPr>
            <w:r>
              <w:rPr>
                <w:b/>
                <w:bCs/>
                <w:color w:val="FFFFFF" w:themeColor="background1"/>
              </w:rPr>
              <w:lastRenderedPageBreak/>
              <w:t>Sector-specific notifiable incidents</w:t>
            </w:r>
          </w:p>
        </w:tc>
      </w:tr>
      <w:tr w:rsidR="00641B54" w:rsidRPr="33C78DCB" w14:paraId="56C42016" w14:textId="77777777" w:rsidTr="00641B54">
        <w:trPr>
          <w:trHeight w:val="971"/>
        </w:trPr>
        <w:tc>
          <w:tcPr>
            <w:tcW w:w="527" w:type="dxa"/>
            <w:vMerge w:val="restart"/>
            <w:shd w:val="clear" w:color="auto" w:fill="006272"/>
            <w:vAlign w:val="center"/>
          </w:tcPr>
          <w:p w14:paraId="44A5B4B1" w14:textId="2B89D1D9" w:rsidR="00641B54" w:rsidRPr="00442958" w:rsidRDefault="00641B54" w:rsidP="0055258C">
            <w:pPr>
              <w:pStyle w:val="Questionnumber"/>
              <w:numPr>
                <w:ilvl w:val="0"/>
                <w:numId w:val="0"/>
              </w:numPr>
              <w:jc w:val="left"/>
              <w:rPr>
                <w:color w:val="FFFFFF" w:themeColor="background1"/>
              </w:rPr>
            </w:pPr>
            <w:r>
              <w:rPr>
                <w:color w:val="FFFFFF" w:themeColor="background1"/>
              </w:rPr>
              <w:t>5</w:t>
            </w:r>
          </w:p>
        </w:tc>
        <w:tc>
          <w:tcPr>
            <w:tcW w:w="8489" w:type="dxa"/>
            <w:tcBorders>
              <w:bottom w:val="nil"/>
            </w:tcBorders>
            <w:shd w:val="clear" w:color="auto" w:fill="auto"/>
            <w:vAlign w:val="center"/>
          </w:tcPr>
          <w:p w14:paraId="2411B7C7" w14:textId="529ECE4A" w:rsidR="00641B54" w:rsidRPr="00951517" w:rsidRDefault="00951517" w:rsidP="0055258C">
            <w:pPr>
              <w:jc w:val="both"/>
              <w:rPr>
                <w:i/>
                <w:iCs/>
              </w:rPr>
            </w:pPr>
            <w:r w:rsidRPr="00951517">
              <w:rPr>
                <w:i/>
                <w:iCs/>
              </w:rPr>
              <w:t xml:space="preserve">Do you consider the definition of near-miss natural hazards events in </w:t>
            </w:r>
            <w:r w:rsidRPr="00951517">
              <w:rPr>
                <w:b/>
                <w:bCs/>
                <w:i/>
                <w:iCs/>
              </w:rPr>
              <w:t>Regulation 3</w:t>
            </w:r>
            <w:r w:rsidRPr="00951517">
              <w:rPr>
                <w:i/>
                <w:iCs/>
              </w:rPr>
              <w:t xml:space="preserve"> to be sufficiently clear to require operators to notify WorkSafe only where there has been a serious risk from a natural hazard? Do you consider that this wording may cause events that are not serious to be notified? </w:t>
            </w:r>
            <w:r w:rsidR="00641B54" w:rsidRPr="00951517">
              <w:rPr>
                <w:i/>
                <w:iCs/>
              </w:rPr>
              <w:t xml:space="preserve"> </w:t>
            </w:r>
          </w:p>
        </w:tc>
      </w:tr>
      <w:tr w:rsidR="00641B54" w:rsidRPr="33C78DCB" w14:paraId="1BD86529" w14:textId="77777777" w:rsidTr="00641B54">
        <w:trPr>
          <w:trHeight w:val="971"/>
        </w:trPr>
        <w:tc>
          <w:tcPr>
            <w:tcW w:w="527" w:type="dxa"/>
            <w:vMerge/>
            <w:shd w:val="clear" w:color="auto" w:fill="006272"/>
            <w:vAlign w:val="center"/>
          </w:tcPr>
          <w:p w14:paraId="7FA07E45" w14:textId="77777777" w:rsidR="00641B54" w:rsidRDefault="00641B54" w:rsidP="0055258C">
            <w:pPr>
              <w:pStyle w:val="Questionnumber"/>
              <w:numPr>
                <w:ilvl w:val="0"/>
                <w:numId w:val="0"/>
              </w:numPr>
              <w:jc w:val="left"/>
              <w:rPr>
                <w:color w:val="FFFFFF" w:themeColor="background1"/>
              </w:rPr>
            </w:pPr>
          </w:p>
        </w:tc>
        <w:tc>
          <w:tcPr>
            <w:tcW w:w="8489" w:type="dxa"/>
            <w:tcBorders>
              <w:top w:val="nil"/>
            </w:tcBorders>
            <w:shd w:val="clear" w:color="auto" w:fill="auto"/>
            <w:vAlign w:val="center"/>
          </w:tcPr>
          <w:p w14:paraId="4B19121B" w14:textId="77777777" w:rsidR="00641B54" w:rsidRDefault="00641B54" w:rsidP="0055258C">
            <w:pPr>
              <w:jc w:val="both"/>
            </w:pPr>
          </w:p>
        </w:tc>
      </w:tr>
      <w:tr w:rsidR="00641B54" w:rsidRPr="33C78DCB" w14:paraId="71184E1B" w14:textId="77777777" w:rsidTr="00641B54">
        <w:trPr>
          <w:trHeight w:val="971"/>
        </w:trPr>
        <w:tc>
          <w:tcPr>
            <w:tcW w:w="527" w:type="dxa"/>
            <w:vMerge w:val="restart"/>
            <w:shd w:val="clear" w:color="auto" w:fill="006272"/>
            <w:vAlign w:val="center"/>
          </w:tcPr>
          <w:p w14:paraId="426C1700" w14:textId="156BD4A3" w:rsidR="00641B54" w:rsidRDefault="00641B54" w:rsidP="0055258C">
            <w:pPr>
              <w:pStyle w:val="Questionnumber"/>
              <w:numPr>
                <w:ilvl w:val="0"/>
                <w:numId w:val="0"/>
              </w:numPr>
              <w:jc w:val="left"/>
              <w:rPr>
                <w:color w:val="FFFFFF" w:themeColor="background1"/>
              </w:rPr>
            </w:pPr>
            <w:r>
              <w:rPr>
                <w:color w:val="FFFFFF" w:themeColor="background1"/>
              </w:rPr>
              <w:t>6</w:t>
            </w:r>
          </w:p>
        </w:tc>
        <w:tc>
          <w:tcPr>
            <w:tcW w:w="8489" w:type="dxa"/>
            <w:tcBorders>
              <w:bottom w:val="nil"/>
            </w:tcBorders>
            <w:shd w:val="clear" w:color="auto" w:fill="auto"/>
            <w:vAlign w:val="center"/>
          </w:tcPr>
          <w:p w14:paraId="47BB221B" w14:textId="7E6FE9A3" w:rsidR="00641B54" w:rsidRPr="00951517" w:rsidRDefault="00951517" w:rsidP="0055258C">
            <w:pPr>
              <w:jc w:val="both"/>
              <w:rPr>
                <w:i/>
                <w:iCs/>
              </w:rPr>
            </w:pPr>
            <w:r w:rsidRPr="00951517">
              <w:rPr>
                <w:i/>
                <w:iCs/>
              </w:rPr>
              <w:t xml:space="preserve">Do you consider that the list of notifiable incidents and injuries in </w:t>
            </w:r>
            <w:r w:rsidRPr="00951517">
              <w:rPr>
                <w:b/>
                <w:bCs/>
                <w:i/>
                <w:iCs/>
              </w:rPr>
              <w:t xml:space="preserve">Regulations 19A </w:t>
            </w:r>
            <w:r w:rsidRPr="00951517">
              <w:rPr>
                <w:i/>
                <w:iCs/>
              </w:rPr>
              <w:t xml:space="preserve">and </w:t>
            </w:r>
            <w:r w:rsidRPr="00951517">
              <w:rPr>
                <w:b/>
                <w:bCs/>
                <w:i/>
                <w:iCs/>
              </w:rPr>
              <w:t xml:space="preserve">19B </w:t>
            </w:r>
            <w:r w:rsidRPr="00951517">
              <w:rPr>
                <w:i/>
                <w:iCs/>
              </w:rPr>
              <w:t>accurately reflects the key risks in adventure activities? Are there any incidents or injuries that you consider should be removed or added to the list? If so, please explain why.</w:t>
            </w:r>
          </w:p>
        </w:tc>
      </w:tr>
      <w:tr w:rsidR="00641B54" w:rsidRPr="33C78DCB" w14:paraId="06673015" w14:textId="77777777" w:rsidTr="00641B54">
        <w:trPr>
          <w:trHeight w:val="971"/>
        </w:trPr>
        <w:tc>
          <w:tcPr>
            <w:tcW w:w="527" w:type="dxa"/>
            <w:vMerge/>
            <w:shd w:val="clear" w:color="auto" w:fill="006272"/>
            <w:vAlign w:val="center"/>
          </w:tcPr>
          <w:p w14:paraId="32266D8B" w14:textId="77777777" w:rsidR="00641B54" w:rsidRDefault="00641B54" w:rsidP="0055258C">
            <w:pPr>
              <w:pStyle w:val="Questionnumber"/>
              <w:numPr>
                <w:ilvl w:val="0"/>
                <w:numId w:val="0"/>
              </w:numPr>
              <w:jc w:val="left"/>
              <w:rPr>
                <w:color w:val="FFFFFF" w:themeColor="background1"/>
              </w:rPr>
            </w:pPr>
          </w:p>
        </w:tc>
        <w:tc>
          <w:tcPr>
            <w:tcW w:w="8489" w:type="dxa"/>
            <w:tcBorders>
              <w:top w:val="nil"/>
            </w:tcBorders>
            <w:shd w:val="clear" w:color="auto" w:fill="auto"/>
            <w:vAlign w:val="center"/>
          </w:tcPr>
          <w:p w14:paraId="07453DF9" w14:textId="77777777" w:rsidR="00641B54" w:rsidRDefault="00641B54" w:rsidP="0055258C">
            <w:pPr>
              <w:jc w:val="both"/>
            </w:pPr>
          </w:p>
        </w:tc>
      </w:tr>
      <w:tr w:rsidR="00B610CF" w:rsidRPr="33C78DCB" w14:paraId="14438682" w14:textId="77777777" w:rsidTr="00B610CF">
        <w:trPr>
          <w:trHeight w:val="440"/>
        </w:trPr>
        <w:tc>
          <w:tcPr>
            <w:tcW w:w="9016" w:type="dxa"/>
            <w:gridSpan w:val="2"/>
            <w:shd w:val="clear" w:color="auto" w:fill="006272"/>
            <w:vAlign w:val="center"/>
          </w:tcPr>
          <w:p w14:paraId="4FE80CE5" w14:textId="2C67795D" w:rsidR="00B610CF" w:rsidRPr="00B610CF" w:rsidRDefault="00B610CF" w:rsidP="0055258C">
            <w:pPr>
              <w:jc w:val="both"/>
              <w:rPr>
                <w:b/>
                <w:bCs/>
                <w:color w:val="FFFFFF" w:themeColor="background1"/>
              </w:rPr>
            </w:pPr>
            <w:r>
              <w:rPr>
                <w:b/>
                <w:bCs/>
                <w:color w:val="FFFFFF" w:themeColor="background1"/>
              </w:rPr>
              <w:t>Offences and penalties</w:t>
            </w:r>
          </w:p>
        </w:tc>
      </w:tr>
      <w:tr w:rsidR="00641B54" w14:paraId="3D6F55FB" w14:textId="77777777" w:rsidTr="00641B54">
        <w:trPr>
          <w:trHeight w:val="971"/>
        </w:trPr>
        <w:tc>
          <w:tcPr>
            <w:tcW w:w="527" w:type="dxa"/>
            <w:vMerge w:val="restart"/>
            <w:shd w:val="clear" w:color="auto" w:fill="006272"/>
            <w:vAlign w:val="center"/>
          </w:tcPr>
          <w:p w14:paraId="64597C86" w14:textId="1CE4FE77" w:rsidR="00641B54" w:rsidRDefault="00641B54" w:rsidP="0055258C">
            <w:pPr>
              <w:pStyle w:val="Questionnumber"/>
              <w:numPr>
                <w:ilvl w:val="0"/>
                <w:numId w:val="0"/>
              </w:numPr>
              <w:jc w:val="left"/>
              <w:rPr>
                <w:color w:val="FFFFFF" w:themeColor="background1"/>
              </w:rPr>
            </w:pPr>
            <w:bookmarkStart w:id="1" w:name="_Hlk127786752"/>
            <w:r>
              <w:rPr>
                <w:color w:val="FFFFFF" w:themeColor="background1"/>
              </w:rPr>
              <w:t>7</w:t>
            </w:r>
          </w:p>
        </w:tc>
        <w:tc>
          <w:tcPr>
            <w:tcW w:w="8489" w:type="dxa"/>
            <w:tcBorders>
              <w:bottom w:val="nil"/>
            </w:tcBorders>
            <w:shd w:val="clear" w:color="auto" w:fill="auto"/>
            <w:vAlign w:val="center"/>
          </w:tcPr>
          <w:p w14:paraId="580B1D49" w14:textId="61583AF7" w:rsidR="00641B54" w:rsidRPr="00951517" w:rsidRDefault="00951517" w:rsidP="0055258C">
            <w:pPr>
              <w:jc w:val="both"/>
              <w:rPr>
                <w:i/>
                <w:iCs/>
              </w:rPr>
            </w:pPr>
            <w:r w:rsidRPr="00951517">
              <w:rPr>
                <w:i/>
                <w:iCs/>
              </w:rPr>
              <w:t>Do you agree with the proposed offences and penalties for the adventure activity regulations? If not, what would you consider the appropriate amount and why?</w:t>
            </w:r>
          </w:p>
        </w:tc>
      </w:tr>
      <w:tr w:rsidR="00641B54" w14:paraId="4BC1B958" w14:textId="77777777" w:rsidTr="00641B54">
        <w:trPr>
          <w:trHeight w:val="971"/>
        </w:trPr>
        <w:tc>
          <w:tcPr>
            <w:tcW w:w="527" w:type="dxa"/>
            <w:vMerge/>
            <w:shd w:val="clear" w:color="auto" w:fill="006272"/>
            <w:vAlign w:val="center"/>
          </w:tcPr>
          <w:p w14:paraId="4656FCC8" w14:textId="77777777" w:rsidR="00641B54" w:rsidRDefault="00641B54" w:rsidP="0055258C">
            <w:pPr>
              <w:pStyle w:val="Questionnumber"/>
              <w:numPr>
                <w:ilvl w:val="0"/>
                <w:numId w:val="0"/>
              </w:numPr>
              <w:jc w:val="left"/>
              <w:rPr>
                <w:color w:val="FFFFFF" w:themeColor="background1"/>
              </w:rPr>
            </w:pPr>
          </w:p>
        </w:tc>
        <w:tc>
          <w:tcPr>
            <w:tcW w:w="8489" w:type="dxa"/>
            <w:tcBorders>
              <w:top w:val="nil"/>
            </w:tcBorders>
            <w:shd w:val="clear" w:color="auto" w:fill="auto"/>
            <w:vAlign w:val="center"/>
          </w:tcPr>
          <w:p w14:paraId="122C623F" w14:textId="77777777" w:rsidR="00641B54" w:rsidRDefault="00641B54" w:rsidP="0055258C">
            <w:pPr>
              <w:jc w:val="both"/>
            </w:pPr>
          </w:p>
        </w:tc>
      </w:tr>
      <w:bookmarkEnd w:id="1"/>
      <w:tr w:rsidR="00B610CF" w14:paraId="617C7584" w14:textId="77777777" w:rsidTr="00B610CF">
        <w:trPr>
          <w:trHeight w:val="350"/>
        </w:trPr>
        <w:tc>
          <w:tcPr>
            <w:tcW w:w="9016" w:type="dxa"/>
            <w:gridSpan w:val="2"/>
            <w:shd w:val="clear" w:color="auto" w:fill="006272"/>
            <w:vAlign w:val="center"/>
          </w:tcPr>
          <w:p w14:paraId="0A2C5318" w14:textId="1A336C8D" w:rsidR="00B610CF" w:rsidRPr="00B610CF" w:rsidRDefault="00B610CF" w:rsidP="0055258C">
            <w:pPr>
              <w:jc w:val="both"/>
              <w:rPr>
                <w:b/>
                <w:bCs/>
                <w:color w:val="FFFFFF" w:themeColor="background1"/>
              </w:rPr>
            </w:pPr>
            <w:r>
              <w:rPr>
                <w:b/>
                <w:bCs/>
                <w:color w:val="FFFFFF" w:themeColor="background1"/>
              </w:rPr>
              <w:t xml:space="preserve">Implementation timing </w:t>
            </w:r>
          </w:p>
        </w:tc>
      </w:tr>
      <w:tr w:rsidR="00641B54" w:rsidRPr="00863E02" w14:paraId="0E49EBDF" w14:textId="77777777" w:rsidTr="00641B54">
        <w:trPr>
          <w:trHeight w:val="971"/>
        </w:trPr>
        <w:tc>
          <w:tcPr>
            <w:tcW w:w="527" w:type="dxa"/>
            <w:vMerge w:val="restart"/>
            <w:shd w:val="clear" w:color="auto" w:fill="006272"/>
            <w:vAlign w:val="center"/>
          </w:tcPr>
          <w:p w14:paraId="202D1A65" w14:textId="3E2E2E06" w:rsidR="00641B54" w:rsidRPr="00863E02" w:rsidRDefault="00641B54" w:rsidP="00863E02">
            <w:pPr>
              <w:rPr>
                <w:b/>
                <w:color w:val="FFFFFF" w:themeColor="background1"/>
              </w:rPr>
            </w:pPr>
            <w:r>
              <w:rPr>
                <w:b/>
                <w:color w:val="FFFFFF" w:themeColor="background1"/>
              </w:rPr>
              <w:t>8</w:t>
            </w:r>
          </w:p>
        </w:tc>
        <w:tc>
          <w:tcPr>
            <w:tcW w:w="8489" w:type="dxa"/>
            <w:tcBorders>
              <w:bottom w:val="nil"/>
            </w:tcBorders>
            <w:shd w:val="clear" w:color="auto" w:fill="auto"/>
            <w:vAlign w:val="center"/>
          </w:tcPr>
          <w:p w14:paraId="7D5A5A5F" w14:textId="0B20A111" w:rsidR="00641B54" w:rsidRPr="00951517" w:rsidRDefault="00951517" w:rsidP="00863E02">
            <w:pPr>
              <w:rPr>
                <w:i/>
                <w:iCs/>
              </w:rPr>
            </w:pPr>
            <w:r w:rsidRPr="00951517">
              <w:rPr>
                <w:i/>
                <w:iCs/>
              </w:rPr>
              <w:t>Do you agree with the proposed three-month period before changes take effect? Are there particular requirements that may need a longer implementation time?</w:t>
            </w:r>
          </w:p>
        </w:tc>
      </w:tr>
      <w:tr w:rsidR="00641B54" w:rsidRPr="00863E02" w14:paraId="7AF7FC3B" w14:textId="77777777" w:rsidTr="00641B54">
        <w:trPr>
          <w:trHeight w:val="971"/>
        </w:trPr>
        <w:tc>
          <w:tcPr>
            <w:tcW w:w="527" w:type="dxa"/>
            <w:vMerge/>
            <w:shd w:val="clear" w:color="auto" w:fill="006272"/>
            <w:vAlign w:val="center"/>
          </w:tcPr>
          <w:p w14:paraId="48F93C30" w14:textId="77777777" w:rsidR="00641B54" w:rsidRDefault="00641B54" w:rsidP="00863E02">
            <w:pPr>
              <w:rPr>
                <w:b/>
                <w:color w:val="FFFFFF" w:themeColor="background1"/>
              </w:rPr>
            </w:pPr>
          </w:p>
        </w:tc>
        <w:tc>
          <w:tcPr>
            <w:tcW w:w="8489" w:type="dxa"/>
            <w:tcBorders>
              <w:top w:val="nil"/>
            </w:tcBorders>
            <w:shd w:val="clear" w:color="auto" w:fill="auto"/>
            <w:vAlign w:val="center"/>
          </w:tcPr>
          <w:p w14:paraId="1C86D076" w14:textId="77777777" w:rsidR="00641B54" w:rsidRDefault="00641B54" w:rsidP="00863E02"/>
        </w:tc>
      </w:tr>
    </w:tbl>
    <w:p w14:paraId="3964C7FC" w14:textId="77777777" w:rsidR="00052865" w:rsidRPr="00342722" w:rsidRDefault="00052865" w:rsidP="00052865"/>
    <w:sectPr w:rsidR="00052865" w:rsidRPr="003427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8B1C" w14:textId="77777777" w:rsidR="00611590" w:rsidRDefault="00611590" w:rsidP="00092C17">
      <w:pPr>
        <w:spacing w:after="0" w:line="240" w:lineRule="auto"/>
      </w:pPr>
      <w:r>
        <w:separator/>
      </w:r>
    </w:p>
  </w:endnote>
  <w:endnote w:type="continuationSeparator" w:id="0">
    <w:p w14:paraId="7AABF894" w14:textId="77777777" w:rsidR="00611590" w:rsidRDefault="00611590" w:rsidP="0009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CD44" w14:textId="77777777" w:rsidR="00611590" w:rsidRDefault="00611590" w:rsidP="00092C17">
      <w:pPr>
        <w:spacing w:after="0" w:line="240" w:lineRule="auto"/>
      </w:pPr>
      <w:r>
        <w:separator/>
      </w:r>
    </w:p>
  </w:footnote>
  <w:footnote w:type="continuationSeparator" w:id="0">
    <w:p w14:paraId="7E8147B8" w14:textId="77777777" w:rsidR="00611590" w:rsidRDefault="00611590" w:rsidP="00092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744E"/>
    <w:multiLevelType w:val="hybridMultilevel"/>
    <w:tmpl w:val="96385B46"/>
    <w:lvl w:ilvl="0" w:tplc="2968F4BE">
      <w:start w:val="1"/>
      <w:numFmt w:val="bullet"/>
      <w:lvlText w:val=""/>
      <w:lvlJc w:val="left"/>
      <w:pPr>
        <w:ind w:left="720" w:hanging="360"/>
      </w:pPr>
      <w:rPr>
        <w:rFonts w:ascii="Wingdings" w:hAnsi="Wingdings" w:hint="default"/>
      </w:rPr>
    </w:lvl>
    <w:lvl w:ilvl="1" w:tplc="CA689BE8">
      <w:start w:val="1"/>
      <w:numFmt w:val="bullet"/>
      <w:lvlText w:val="o"/>
      <w:lvlJc w:val="left"/>
      <w:pPr>
        <w:ind w:left="1440" w:hanging="360"/>
      </w:pPr>
      <w:rPr>
        <w:rFonts w:ascii="Courier New" w:hAnsi="Courier New" w:hint="default"/>
      </w:rPr>
    </w:lvl>
    <w:lvl w:ilvl="2" w:tplc="843695E8">
      <w:start w:val="1"/>
      <w:numFmt w:val="bullet"/>
      <w:lvlText w:val=""/>
      <w:lvlJc w:val="left"/>
      <w:pPr>
        <w:ind w:left="2160" w:hanging="360"/>
      </w:pPr>
      <w:rPr>
        <w:rFonts w:ascii="Wingdings" w:hAnsi="Wingdings" w:hint="default"/>
      </w:rPr>
    </w:lvl>
    <w:lvl w:ilvl="3" w:tplc="495A84C0">
      <w:start w:val="1"/>
      <w:numFmt w:val="bullet"/>
      <w:lvlText w:val=""/>
      <w:lvlJc w:val="left"/>
      <w:pPr>
        <w:ind w:left="2880" w:hanging="360"/>
      </w:pPr>
      <w:rPr>
        <w:rFonts w:ascii="Symbol" w:hAnsi="Symbol" w:hint="default"/>
      </w:rPr>
    </w:lvl>
    <w:lvl w:ilvl="4" w:tplc="62F23810">
      <w:start w:val="1"/>
      <w:numFmt w:val="bullet"/>
      <w:lvlText w:val="o"/>
      <w:lvlJc w:val="left"/>
      <w:pPr>
        <w:ind w:left="3600" w:hanging="360"/>
      </w:pPr>
      <w:rPr>
        <w:rFonts w:ascii="Courier New" w:hAnsi="Courier New" w:hint="default"/>
      </w:rPr>
    </w:lvl>
    <w:lvl w:ilvl="5" w:tplc="1F2E691A">
      <w:start w:val="1"/>
      <w:numFmt w:val="bullet"/>
      <w:lvlText w:val=""/>
      <w:lvlJc w:val="left"/>
      <w:pPr>
        <w:ind w:left="4320" w:hanging="360"/>
      </w:pPr>
      <w:rPr>
        <w:rFonts w:ascii="Wingdings" w:hAnsi="Wingdings" w:hint="default"/>
      </w:rPr>
    </w:lvl>
    <w:lvl w:ilvl="6" w:tplc="7414C406">
      <w:start w:val="1"/>
      <w:numFmt w:val="bullet"/>
      <w:lvlText w:val=""/>
      <w:lvlJc w:val="left"/>
      <w:pPr>
        <w:ind w:left="5040" w:hanging="360"/>
      </w:pPr>
      <w:rPr>
        <w:rFonts w:ascii="Symbol" w:hAnsi="Symbol" w:hint="default"/>
      </w:rPr>
    </w:lvl>
    <w:lvl w:ilvl="7" w:tplc="AA4CAC3E">
      <w:start w:val="1"/>
      <w:numFmt w:val="bullet"/>
      <w:lvlText w:val="o"/>
      <w:lvlJc w:val="left"/>
      <w:pPr>
        <w:ind w:left="5760" w:hanging="360"/>
      </w:pPr>
      <w:rPr>
        <w:rFonts w:ascii="Courier New" w:hAnsi="Courier New" w:hint="default"/>
      </w:rPr>
    </w:lvl>
    <w:lvl w:ilvl="8" w:tplc="5D26CE30">
      <w:start w:val="1"/>
      <w:numFmt w:val="bullet"/>
      <w:lvlText w:val=""/>
      <w:lvlJc w:val="left"/>
      <w:pPr>
        <w:ind w:left="6480" w:hanging="360"/>
      </w:pPr>
      <w:rPr>
        <w:rFonts w:ascii="Wingdings" w:hAnsi="Wingdings" w:hint="default"/>
      </w:rPr>
    </w:lvl>
  </w:abstractNum>
  <w:abstractNum w:abstractNumId="1" w15:restartNumberingAfterBreak="0">
    <w:nsid w:val="4161670F"/>
    <w:multiLevelType w:val="hybridMultilevel"/>
    <w:tmpl w:val="F056D590"/>
    <w:lvl w:ilvl="0" w:tplc="FFFFFFFF">
      <w:start w:val="1"/>
      <w:numFmt w:val="decimal"/>
      <w:pStyle w:val="Questionnumb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7120390"/>
    <w:multiLevelType w:val="hybridMultilevel"/>
    <w:tmpl w:val="C51C73C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618E5E78"/>
    <w:multiLevelType w:val="hybridMultilevel"/>
    <w:tmpl w:val="DA5CB198"/>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E963A9F"/>
    <w:multiLevelType w:val="hybridMultilevel"/>
    <w:tmpl w:val="262A7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11D3324"/>
    <w:multiLevelType w:val="multilevel"/>
    <w:tmpl w:val="779402FC"/>
    <w:lvl w:ilvl="0">
      <w:start w:val="1"/>
      <w:numFmt w:val="decimal"/>
      <w:pStyle w:val="BodyText-Numbered"/>
      <w:lvlText w:val="%1."/>
      <w:lvlJc w:val="left"/>
      <w:pPr>
        <w:ind w:left="567" w:hanging="567"/>
      </w:pPr>
      <w:rPr>
        <w:rFonts w:hint="default"/>
        <w:b w:val="0"/>
        <w:color w:val="auto"/>
        <w:sz w:val="22"/>
        <w:szCs w:val="22"/>
      </w:rPr>
    </w:lvl>
    <w:lvl w:ilvl="1">
      <w:start w:val="1"/>
      <w:numFmt w:val="lowerLetter"/>
      <w:lvlText w:val="%2."/>
      <w:lvlJc w:val="left"/>
      <w:pPr>
        <w:ind w:left="924" w:hanging="357"/>
      </w:pPr>
      <w:rPr>
        <w:rFonts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num w:numId="1" w16cid:durableId="1660035994">
    <w:abstractNumId w:val="6"/>
  </w:num>
  <w:num w:numId="2" w16cid:durableId="7123879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1277174">
    <w:abstractNumId w:val="5"/>
  </w:num>
  <w:num w:numId="4" w16cid:durableId="106506981">
    <w:abstractNumId w:val="0"/>
  </w:num>
  <w:num w:numId="5" w16cid:durableId="1431117831">
    <w:abstractNumId w:val="1"/>
  </w:num>
  <w:num w:numId="6" w16cid:durableId="337076165">
    <w:abstractNumId w:val="4"/>
  </w:num>
  <w:num w:numId="7" w16cid:durableId="693653022">
    <w:abstractNumId w:val="3"/>
  </w:num>
  <w:num w:numId="8" w16cid:durableId="98096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71"/>
    <w:rsid w:val="00052865"/>
    <w:rsid w:val="00086F08"/>
    <w:rsid w:val="00092C17"/>
    <w:rsid w:val="002643F6"/>
    <w:rsid w:val="003222FE"/>
    <w:rsid w:val="003301AA"/>
    <w:rsid w:val="00342722"/>
    <w:rsid w:val="003B56F7"/>
    <w:rsid w:val="004408B7"/>
    <w:rsid w:val="00442958"/>
    <w:rsid w:val="00611590"/>
    <w:rsid w:val="00641B54"/>
    <w:rsid w:val="006B43B8"/>
    <w:rsid w:val="006F3F8B"/>
    <w:rsid w:val="00863E02"/>
    <w:rsid w:val="00876E1D"/>
    <w:rsid w:val="008871D1"/>
    <w:rsid w:val="00915DE6"/>
    <w:rsid w:val="00951517"/>
    <w:rsid w:val="00AB759B"/>
    <w:rsid w:val="00B608A3"/>
    <w:rsid w:val="00B610CF"/>
    <w:rsid w:val="00BC6187"/>
    <w:rsid w:val="00D9530B"/>
    <w:rsid w:val="00FD45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FDA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02"/>
  </w:style>
  <w:style w:type="paragraph" w:styleId="Heading1">
    <w:name w:val="heading 1"/>
    <w:basedOn w:val="Normal"/>
    <w:next w:val="Normal"/>
    <w:link w:val="Heading1Char"/>
    <w:uiPriority w:val="9"/>
    <w:qFormat/>
    <w:rsid w:val="00FD45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528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571"/>
    <w:pPr>
      <w:spacing w:before="360" w:after="200" w:line="240" w:lineRule="auto"/>
      <w:outlineLvl w:val="2"/>
    </w:pPr>
    <w:rPr>
      <w:rFonts w:ascii="Calibri" w:eastAsia="Times New Roman" w:hAnsi="Calibri" w:cs="Times New Roman"/>
      <w:b/>
      <w:color w:val="006272"/>
      <w:sz w:val="30"/>
      <w:lang w:eastAsia="ko-KR"/>
    </w:rPr>
  </w:style>
  <w:style w:type="paragraph" w:styleId="Heading4">
    <w:name w:val="heading 4"/>
    <w:basedOn w:val="Normal"/>
    <w:next w:val="Normal"/>
    <w:link w:val="Heading4Char"/>
    <w:uiPriority w:val="9"/>
    <w:semiHidden/>
    <w:unhideWhenUsed/>
    <w:qFormat/>
    <w:rsid w:val="006F3F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571"/>
    <w:rPr>
      <w:rFonts w:ascii="Calibri" w:eastAsia="Times New Roman" w:hAnsi="Calibri" w:cs="Times New Roman"/>
      <w:b/>
      <w:color w:val="006272"/>
      <w:sz w:val="30"/>
      <w:lang w:eastAsia="ko-KR"/>
    </w:rPr>
  </w:style>
  <w:style w:type="paragraph" w:customStyle="1" w:styleId="LineTeal">
    <w:name w:val="Line Teal"/>
    <w:next w:val="BodyText"/>
    <w:uiPriority w:val="11"/>
    <w:rsid w:val="00FD4571"/>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customStyle="1" w:styleId="Heading1-Unnumbered">
    <w:name w:val="Heading 1 - Unnumbered"/>
    <w:basedOn w:val="Heading1"/>
    <w:link w:val="Heading1-UnnumberedChar"/>
    <w:uiPriority w:val="99"/>
    <w:qFormat/>
    <w:rsid w:val="00FD4571"/>
    <w:pPr>
      <w:keepNext w:val="0"/>
      <w:keepLines w:val="0"/>
      <w:spacing w:after="240" w:line="240" w:lineRule="auto"/>
    </w:pPr>
    <w:rPr>
      <w:rFonts w:ascii="Calibri" w:eastAsia="Times New Roman" w:hAnsi="Calibri" w:cs="Times New Roman"/>
      <w:b/>
      <w:color w:val="006272"/>
      <w:sz w:val="60"/>
      <w:szCs w:val="30"/>
      <w:lang w:eastAsia="ko-KR"/>
    </w:rPr>
  </w:style>
  <w:style w:type="character" w:customStyle="1" w:styleId="Heading1-UnnumberedChar">
    <w:name w:val="Heading 1 - Unnumbered Char"/>
    <w:link w:val="Heading1-Unnumbered"/>
    <w:uiPriority w:val="99"/>
    <w:rsid w:val="00FD4571"/>
    <w:rPr>
      <w:rFonts w:ascii="Calibri" w:eastAsia="Times New Roman" w:hAnsi="Calibri" w:cs="Times New Roman"/>
      <w:b/>
      <w:color w:val="006272"/>
      <w:sz w:val="60"/>
      <w:szCs w:val="30"/>
      <w:lang w:eastAsia="ko-KR"/>
    </w:rPr>
  </w:style>
  <w:style w:type="paragraph" w:styleId="BodyText">
    <w:name w:val="Body Text"/>
    <w:basedOn w:val="Normal"/>
    <w:link w:val="BodyTextChar"/>
    <w:uiPriority w:val="99"/>
    <w:semiHidden/>
    <w:unhideWhenUsed/>
    <w:rsid w:val="00FD4571"/>
    <w:pPr>
      <w:spacing w:after="120"/>
    </w:pPr>
  </w:style>
  <w:style w:type="character" w:customStyle="1" w:styleId="BodyTextChar">
    <w:name w:val="Body Text Char"/>
    <w:basedOn w:val="DefaultParagraphFont"/>
    <w:link w:val="BodyText"/>
    <w:uiPriority w:val="99"/>
    <w:semiHidden/>
    <w:rsid w:val="00FD4571"/>
  </w:style>
  <w:style w:type="character" w:customStyle="1" w:styleId="Heading1Char">
    <w:name w:val="Heading 1 Char"/>
    <w:basedOn w:val="DefaultParagraphFont"/>
    <w:link w:val="Heading1"/>
    <w:uiPriority w:val="9"/>
    <w:rsid w:val="00FD45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42722"/>
    <w:rPr>
      <w:color w:val="0563C1" w:themeColor="hyperlink"/>
      <w:u w:val="single"/>
    </w:rPr>
  </w:style>
  <w:style w:type="character" w:styleId="UnresolvedMention">
    <w:name w:val="Unresolved Mention"/>
    <w:basedOn w:val="DefaultParagraphFont"/>
    <w:uiPriority w:val="99"/>
    <w:semiHidden/>
    <w:unhideWhenUsed/>
    <w:rsid w:val="00342722"/>
    <w:rPr>
      <w:color w:val="605E5C"/>
      <w:shd w:val="clear" w:color="auto" w:fill="E1DFDD"/>
    </w:rPr>
  </w:style>
  <w:style w:type="character" w:customStyle="1" w:styleId="Heading4Char">
    <w:name w:val="Heading 4 Char"/>
    <w:basedOn w:val="DefaultParagraphFont"/>
    <w:link w:val="Heading4"/>
    <w:uiPriority w:val="9"/>
    <w:semiHidden/>
    <w:rsid w:val="006F3F8B"/>
    <w:rPr>
      <w:rFonts w:asciiTheme="majorHAnsi" w:eastAsiaTheme="majorEastAsia" w:hAnsiTheme="majorHAnsi" w:cstheme="majorBidi"/>
      <w:i/>
      <w:iCs/>
      <w:color w:val="2F5496" w:themeColor="accent1" w:themeShade="BF"/>
    </w:rPr>
  </w:style>
  <w:style w:type="paragraph" w:customStyle="1" w:styleId="BodyText-Numbered">
    <w:name w:val="Body Text - Numbered"/>
    <w:basedOn w:val="Normal"/>
    <w:link w:val="BodyText-NumberedChar"/>
    <w:qFormat/>
    <w:rsid w:val="006F3F8B"/>
    <w:pPr>
      <w:numPr>
        <w:numId w:val="1"/>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6F3F8B"/>
    <w:rPr>
      <w:rFonts w:ascii="Calibri" w:eastAsia="Times New Roman" w:hAnsi="Calibri" w:cs="Times New Roman"/>
      <w:lang w:eastAsia="ko-KR"/>
    </w:rPr>
  </w:style>
  <w:style w:type="paragraph" w:styleId="ListParagraph">
    <w:name w:val="List Paragraph"/>
    <w:basedOn w:val="Normal"/>
    <w:link w:val="ListParagraphChar"/>
    <w:uiPriority w:val="34"/>
    <w:qFormat/>
    <w:rsid w:val="006F3F8B"/>
    <w:pPr>
      <w:spacing w:after="0" w:line="240" w:lineRule="auto"/>
      <w:ind w:left="720"/>
      <w:contextualSpacing/>
    </w:pPr>
    <w:rPr>
      <w:rFonts w:ascii="Calibri" w:eastAsia="Times New Roman" w:hAnsi="Calibri" w:cs="Times New Roman"/>
      <w:lang w:eastAsia="ko-KR"/>
    </w:rPr>
  </w:style>
  <w:style w:type="character" w:customStyle="1" w:styleId="ListParagraphChar">
    <w:name w:val="List Paragraph Char"/>
    <w:link w:val="ListParagraph"/>
    <w:uiPriority w:val="34"/>
    <w:rsid w:val="006F3F8B"/>
    <w:rPr>
      <w:rFonts w:ascii="Calibri" w:eastAsia="Times New Roman" w:hAnsi="Calibri" w:cs="Times New Roman"/>
      <w:lang w:eastAsia="ko-KR"/>
    </w:rPr>
  </w:style>
  <w:style w:type="character" w:customStyle="1" w:styleId="Heading2Char">
    <w:name w:val="Heading 2 Char"/>
    <w:basedOn w:val="DefaultParagraphFont"/>
    <w:link w:val="Heading2"/>
    <w:uiPriority w:val="9"/>
    <w:rsid w:val="00052865"/>
    <w:rPr>
      <w:rFonts w:asciiTheme="majorHAnsi" w:eastAsiaTheme="majorEastAsia" w:hAnsiTheme="majorHAnsi" w:cstheme="majorBidi"/>
      <w:color w:val="2F5496" w:themeColor="accent1" w:themeShade="BF"/>
      <w:sz w:val="26"/>
      <w:szCs w:val="26"/>
    </w:rPr>
  </w:style>
  <w:style w:type="paragraph" w:customStyle="1" w:styleId="Questionnumber">
    <w:name w:val="Question number"/>
    <w:basedOn w:val="Normal"/>
    <w:link w:val="QuestionnumberChar"/>
    <w:qFormat/>
    <w:rsid w:val="00052865"/>
    <w:pPr>
      <w:numPr>
        <w:numId w:val="5"/>
      </w:numPr>
      <w:spacing w:after="0" w:line="240" w:lineRule="auto"/>
      <w:jc w:val="center"/>
    </w:pPr>
    <w:rPr>
      <w:rFonts w:ascii="Calibri" w:eastAsia="Calibri" w:hAnsi="Calibri" w:cs="Times New Roman"/>
      <w:b/>
      <w:color w:val="FFFFFF"/>
    </w:rPr>
  </w:style>
  <w:style w:type="character" w:customStyle="1" w:styleId="QuestionnumberChar">
    <w:name w:val="Question number Char"/>
    <w:link w:val="Questionnumber"/>
    <w:rsid w:val="00052865"/>
    <w:rPr>
      <w:rFonts w:ascii="Calibri" w:eastAsia="Calibri" w:hAnsi="Calibri" w:cs="Times New Roman"/>
      <w:b/>
      <w:color w:val="FFFFFF"/>
    </w:rPr>
  </w:style>
  <w:style w:type="paragraph" w:styleId="CommentText">
    <w:name w:val="annotation text"/>
    <w:basedOn w:val="Normal"/>
    <w:link w:val="CommentTextChar"/>
    <w:uiPriority w:val="99"/>
    <w:rsid w:val="0005286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05286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052865"/>
    <w:rPr>
      <w:sz w:val="16"/>
      <w:szCs w:val="16"/>
    </w:rPr>
  </w:style>
  <w:style w:type="paragraph" w:customStyle="1" w:styleId="TableBullet">
    <w:name w:val="Table Bullet"/>
    <w:basedOn w:val="Normal"/>
    <w:rsid w:val="00052865"/>
    <w:pPr>
      <w:numPr>
        <w:ilvl w:val="1"/>
        <w:numId w:val="6"/>
      </w:numPr>
      <w:spacing w:after="240" w:line="280" w:lineRule="atLeast"/>
    </w:pPr>
    <w:rPr>
      <w:rFonts w:ascii="Arial" w:eastAsia="Times New Roman" w:hAnsi="Arial"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3301A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01AA"/>
    <w:rPr>
      <w:rFonts w:ascii="Arial" w:eastAsia="Times New Roman" w:hAnsi="Arial" w:cs="Times New Roman"/>
      <w:b/>
      <w:bCs/>
      <w:sz w:val="20"/>
      <w:szCs w:val="20"/>
    </w:rPr>
  </w:style>
  <w:style w:type="paragraph" w:styleId="Header">
    <w:name w:val="header"/>
    <w:basedOn w:val="Normal"/>
    <w:link w:val="HeaderChar"/>
    <w:uiPriority w:val="99"/>
    <w:unhideWhenUsed/>
    <w:rsid w:val="0009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17"/>
  </w:style>
  <w:style w:type="paragraph" w:styleId="Footer">
    <w:name w:val="footer"/>
    <w:basedOn w:val="Normal"/>
    <w:link w:val="FooterChar"/>
    <w:uiPriority w:val="99"/>
    <w:unhideWhenUsed/>
    <w:rsid w:val="0009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Regs@mbie.govt.nz" TargetMode="External"/><Relationship Id="rId3" Type="http://schemas.openxmlformats.org/officeDocument/2006/relationships/settings" Target="settings.xml"/><Relationship Id="rId7" Type="http://schemas.openxmlformats.org/officeDocument/2006/relationships/hyperlink" Target="mailto:HSWRegs@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dc:title>
  <dc:subject/>
  <dc:creator/>
  <cp:keywords/>
  <dc:description/>
  <cp:lastModifiedBy/>
  <cp:revision>1</cp:revision>
  <dcterms:created xsi:type="dcterms:W3CDTF">2023-03-13T01:21:00Z</dcterms:created>
  <dcterms:modified xsi:type="dcterms:W3CDTF">2023-04-04T03:07:00Z</dcterms:modified>
</cp:coreProperties>
</file>