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4707" w14:textId="77777777" w:rsidR="000A3F1B" w:rsidRDefault="000A3F1B" w:rsidP="000A3F1B">
      <w:pPr>
        <w:pStyle w:val="Heading1-Unnumbered"/>
        <w:spacing w:before="0" w:after="0"/>
      </w:pPr>
      <w:r>
        <w:t>Submission template</w:t>
      </w:r>
    </w:p>
    <w:p w14:paraId="24F3B162" w14:textId="77777777" w:rsidR="000A3F1B" w:rsidRPr="00006BC7" w:rsidRDefault="000A3F1B" w:rsidP="000A3F1B">
      <w:pPr>
        <w:pStyle w:val="LineTeal"/>
        <w:spacing w:before="120" w:after="120"/>
      </w:pPr>
    </w:p>
    <w:p w14:paraId="33E8CE46" w14:textId="67184841" w:rsidR="000A3F1B" w:rsidRDefault="000A3F1B" w:rsidP="000A3F1B">
      <w:pPr>
        <w:pStyle w:val="Heading3"/>
        <w:spacing w:before="0"/>
      </w:pPr>
      <w:r>
        <w:t xml:space="preserve">Fit for purpose </w:t>
      </w:r>
      <w:r w:rsidR="000E7F33">
        <w:t xml:space="preserve">consumer credit </w:t>
      </w:r>
      <w:proofErr w:type="gramStart"/>
      <w:r w:rsidR="000E7F33">
        <w:t>legislation</w:t>
      </w:r>
      <w:proofErr w:type="gramEnd"/>
    </w:p>
    <w:p w14:paraId="053E2CD3" w14:textId="5B41A684" w:rsidR="000A3F1B" w:rsidRDefault="000A3F1B" w:rsidP="000A3F1B">
      <w:pPr>
        <w:pStyle w:val="BodyText"/>
      </w:pPr>
      <w:r>
        <w:t xml:space="preserve">This is the submission template for the discussion document, Fit for purpose consumer credit legislation. The Ministry of Business, Innovation and Employment (MBIE) seeks written submissions on the issues raised in the discussion document by </w:t>
      </w:r>
      <w:r w:rsidRPr="00210E60">
        <w:rPr>
          <w:b/>
          <w:bCs/>
        </w:rPr>
        <w:t>5pm on</w:t>
      </w:r>
      <w:r>
        <w:t xml:space="preserve"> </w:t>
      </w:r>
      <w:r>
        <w:rPr>
          <w:b/>
          <w:bCs/>
        </w:rPr>
        <w:t>19 June 2024</w:t>
      </w:r>
      <w:r w:rsidRPr="00BC6DD4">
        <w:t>.</w:t>
      </w:r>
      <w:r>
        <w:t xml:space="preserve"> Please make your submission as follows:</w:t>
      </w:r>
    </w:p>
    <w:p w14:paraId="3D4A4284" w14:textId="77777777" w:rsidR="000A3F1B" w:rsidRDefault="000A3F1B" w:rsidP="000A3F1B">
      <w:pPr>
        <w:pStyle w:val="BodyText-Numbered"/>
        <w:ind w:left="426" w:hanging="426"/>
      </w:pPr>
      <w:r>
        <w:t xml:space="preserve">Fill out your name, </w:t>
      </w:r>
      <w:proofErr w:type="gramStart"/>
      <w:r>
        <w:t>organisation</w:t>
      </w:r>
      <w:proofErr w:type="gramEnd"/>
      <w:r>
        <w:t xml:space="preserve"> and contact details in the table: “Your name and organisation”.</w:t>
      </w:r>
    </w:p>
    <w:p w14:paraId="64E68DB4" w14:textId="77777777" w:rsidR="000A3F1B" w:rsidRDefault="000A3F1B" w:rsidP="000A3F1B">
      <w:pPr>
        <w:pStyle w:val="BodyText-Numbered"/>
        <w:ind w:left="426" w:hanging="426"/>
      </w:pPr>
      <w:r>
        <w:t>Fill out your responses to the consultation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7BD724BA" w14:textId="77777777" w:rsidR="000A3F1B" w:rsidRDefault="000A3F1B" w:rsidP="000A3F1B">
      <w:pPr>
        <w:pStyle w:val="BodyText-Numbered"/>
        <w:ind w:left="426" w:hanging="426"/>
      </w:pPr>
      <w:r>
        <w:t>If you would like to make any other comments that are not covered by any of the questions, please provide these in the “Other comments” section.</w:t>
      </w:r>
    </w:p>
    <w:p w14:paraId="07A8FAD2" w14:textId="77777777" w:rsidR="000A3F1B" w:rsidRDefault="000A3F1B" w:rsidP="000A3F1B">
      <w:pPr>
        <w:pStyle w:val="BodyText-Numbered"/>
        <w:ind w:left="426" w:hanging="426"/>
      </w:pPr>
      <w:r>
        <w:t>When sending your submission:</w:t>
      </w:r>
    </w:p>
    <w:p w14:paraId="78AAF884" w14:textId="77777777" w:rsidR="000A3F1B" w:rsidRPr="00280A9C" w:rsidRDefault="000A3F1B" w:rsidP="000A3F1B">
      <w:pPr>
        <w:pStyle w:val="ListParagraph"/>
        <w:numPr>
          <w:ilvl w:val="1"/>
          <w:numId w:val="1"/>
        </w:numPr>
        <w:ind w:left="851" w:hanging="425"/>
      </w:pPr>
      <w:r w:rsidRPr="00280A9C">
        <w:t xml:space="preserve">Delete </w:t>
      </w:r>
      <w:r>
        <w:t>this page</w:t>
      </w:r>
      <w:r w:rsidRPr="00280A9C">
        <w:t xml:space="preserve"> of instructions.</w:t>
      </w:r>
    </w:p>
    <w:p w14:paraId="520CE2ED" w14:textId="77777777" w:rsidR="000A3F1B" w:rsidRPr="00F75B86" w:rsidRDefault="000A3F1B" w:rsidP="000A3F1B">
      <w:pPr>
        <w:pStyle w:val="BodyText-Numbered"/>
        <w:numPr>
          <w:ilvl w:val="1"/>
          <w:numId w:val="1"/>
        </w:numPr>
        <w:ind w:left="851" w:hanging="425"/>
      </w:pPr>
      <w:bookmarkStart w:id="0" w:name="_Hlk138151949"/>
      <w:r w:rsidRPr="00CA0D89">
        <w:rPr>
          <w:szCs w:val="32"/>
        </w:rPr>
        <w:t xml:space="preserve">Please clearly indicate in the cover letter or email accompanying your submission if you do not wish for your name, or any other personal information, to be disclosed in any summary of submissions or external disclosures.  </w:t>
      </w:r>
    </w:p>
    <w:p w14:paraId="536A8B6B" w14:textId="77777777" w:rsidR="000A3F1B" w:rsidRDefault="000A3F1B" w:rsidP="000A3F1B">
      <w:pPr>
        <w:pStyle w:val="BodyText-Numbered"/>
        <w:numPr>
          <w:ilvl w:val="1"/>
          <w:numId w:val="1"/>
        </w:numPr>
        <w:ind w:left="851" w:hanging="425"/>
      </w:pPr>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3973623C" w14:textId="77777777" w:rsidR="000A3F1B" w:rsidRDefault="000A3F1B" w:rsidP="000A3F1B">
      <w:pPr>
        <w:pStyle w:val="BodyText-Numbered"/>
        <w:numPr>
          <w:ilvl w:val="2"/>
          <w:numId w:val="1"/>
        </w:numPr>
        <w:ind w:left="1276" w:hanging="283"/>
      </w:pPr>
      <w:r>
        <w:t xml:space="preserve">Please state this </w:t>
      </w:r>
      <w:r w:rsidRPr="00A74303">
        <w:t xml:space="preserve">in the </w:t>
      </w:r>
      <w:r>
        <w:t xml:space="preserve">cover page or in the </w:t>
      </w:r>
      <w:r w:rsidRPr="00A74303">
        <w:t xml:space="preserve">e-mail accompanying </w:t>
      </w:r>
      <w:r>
        <w:t>your</w:t>
      </w:r>
      <w:r w:rsidRPr="00A74303">
        <w:t xml:space="preserve"> </w:t>
      </w:r>
      <w:proofErr w:type="gramStart"/>
      <w:r w:rsidRPr="00A74303">
        <w:t>submission</w:t>
      </w:r>
      <w:r>
        <w:t>, and</w:t>
      </w:r>
      <w:proofErr w:type="gramEnd"/>
      <w:r>
        <w:t xml:space="preserve">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1A8C73E3" w14:textId="77777777" w:rsidR="000A3F1B" w:rsidRDefault="000A3F1B" w:rsidP="000A3F1B">
      <w:pPr>
        <w:pStyle w:val="BodyText-Numbered"/>
        <w:numPr>
          <w:ilvl w:val="2"/>
          <w:numId w:val="1"/>
        </w:numPr>
        <w:ind w:left="1276" w:hanging="283"/>
      </w:pPr>
      <w:r>
        <w:t>Indicate this on the front of your submission (</w:t>
      </w:r>
      <w:proofErr w:type="gramStart"/>
      <w:r>
        <w:t>eg</w:t>
      </w:r>
      <w:proofErr w:type="gramEnd"/>
      <w:r>
        <w:t xml:space="preserve"> the first page header may state “In Confidence”). </w:t>
      </w:r>
      <w:r w:rsidRPr="00A74303">
        <w:t>Any confidential information should be clearly marked wit</w:t>
      </w:r>
      <w:r>
        <w:t>hin the text of your submission (preferably as Microsoft Word comments).</w:t>
      </w:r>
    </w:p>
    <w:p w14:paraId="19468802" w14:textId="77777777" w:rsidR="000A3F1B" w:rsidRDefault="000A3F1B" w:rsidP="000A3F1B">
      <w:pPr>
        <w:pStyle w:val="BodyText-Numbered"/>
        <w:numPr>
          <w:ilvl w:val="1"/>
          <w:numId w:val="1"/>
        </w:numPr>
        <w:ind w:left="851" w:hanging="425"/>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41DC8593" w14:textId="77777777" w:rsidR="000A3F1B" w:rsidRDefault="000A3F1B" w:rsidP="000A3F1B">
      <w:pPr>
        <w:pStyle w:val="BodyText-Numbered"/>
        <w:ind w:left="426" w:hanging="426"/>
      </w:pPr>
      <w:r>
        <w:t>Send your submission:</w:t>
      </w:r>
    </w:p>
    <w:p w14:paraId="43FD31DE" w14:textId="3C94EC64" w:rsidR="000A3F1B" w:rsidRDefault="000A3F1B" w:rsidP="000A3F1B">
      <w:pPr>
        <w:pStyle w:val="BodyText-Bullets"/>
        <w:tabs>
          <w:tab w:val="left" w:pos="851"/>
        </w:tabs>
        <w:ind w:hanging="855"/>
      </w:pPr>
      <w:r>
        <w:t xml:space="preserve">as a Microsoft Word document to </w:t>
      </w:r>
      <w:r w:rsidRPr="000A3F1B">
        <w:rPr>
          <w:rStyle w:val="Hyperlink"/>
        </w:rPr>
        <w:t>consumer</w:t>
      </w:r>
      <w:r>
        <w:rPr>
          <w:rStyle w:val="Hyperlink"/>
        </w:rPr>
        <w:t>@mbie.govt.nz</w:t>
      </w:r>
      <w:r>
        <w:rPr>
          <w:b/>
          <w:i/>
        </w:rPr>
        <w:t xml:space="preserve"> </w:t>
      </w:r>
      <w:r>
        <w:t>(preferred), or</w:t>
      </w:r>
    </w:p>
    <w:p w14:paraId="636EE6D7" w14:textId="77777777" w:rsidR="000A3F1B" w:rsidRDefault="000A3F1B" w:rsidP="000A3F1B">
      <w:pPr>
        <w:pStyle w:val="BodyText-Bullets"/>
        <w:tabs>
          <w:tab w:val="left" w:pos="851"/>
        </w:tabs>
        <w:ind w:hanging="855"/>
      </w:pPr>
      <w:r>
        <w:t>by mailing your submission to:</w:t>
      </w:r>
    </w:p>
    <w:p w14:paraId="309AB41A" w14:textId="11299258" w:rsidR="000A3F1B" w:rsidRDefault="000A3F1B" w:rsidP="000A3F1B">
      <w:pPr>
        <w:pStyle w:val="BodyText"/>
        <w:ind w:left="1440"/>
        <w:contextualSpacing/>
      </w:pPr>
      <w:r>
        <w:t>Consumer Policy</w:t>
      </w:r>
    </w:p>
    <w:p w14:paraId="39FC15CC" w14:textId="77777777" w:rsidR="000A3F1B" w:rsidRDefault="000A3F1B" w:rsidP="000A3F1B">
      <w:pPr>
        <w:pStyle w:val="BodyText"/>
        <w:ind w:left="1440"/>
        <w:contextualSpacing/>
      </w:pPr>
      <w:r w:rsidRPr="00FB12B5">
        <w:t>Small Business, Commerce and Consumer Policy</w:t>
      </w:r>
    </w:p>
    <w:p w14:paraId="16DD1079" w14:textId="77777777" w:rsidR="000A3F1B" w:rsidRDefault="000A3F1B" w:rsidP="000A3F1B">
      <w:pPr>
        <w:pStyle w:val="BodyText"/>
        <w:ind w:left="1440"/>
        <w:contextualSpacing/>
      </w:pPr>
      <w:r>
        <w:t>Ministry of Business, Innovation &amp; Employment</w:t>
      </w:r>
      <w:r>
        <w:br/>
        <w:t>PO Box 1473</w:t>
      </w:r>
    </w:p>
    <w:p w14:paraId="39CDB1DF" w14:textId="77777777" w:rsidR="000A3F1B" w:rsidRDefault="000A3F1B" w:rsidP="000A3F1B">
      <w:pPr>
        <w:pStyle w:val="BodyText"/>
        <w:ind w:left="1440"/>
        <w:contextualSpacing/>
      </w:pPr>
      <w:r>
        <w:t>Wellington 6140</w:t>
      </w:r>
      <w:r>
        <w:br/>
      </w:r>
      <w:r w:rsidRPr="006238BD">
        <w:t>New Zealand</w:t>
      </w:r>
    </w:p>
    <w:p w14:paraId="6019590B" w14:textId="184D9896" w:rsidR="000A3F1B" w:rsidRDefault="000A3F1B" w:rsidP="000A3F1B">
      <w:pPr>
        <w:pStyle w:val="BodyText-Numbered"/>
        <w:ind w:left="426" w:hanging="426"/>
      </w:pPr>
      <w:r w:rsidRPr="006238BD">
        <w:t>Please direct any questions to</w:t>
      </w:r>
      <w:r w:rsidRPr="000A3F1B">
        <w:rPr>
          <w:rStyle w:val="Hyperlink"/>
          <w:u w:val="none"/>
        </w:rPr>
        <w:t xml:space="preserve"> </w:t>
      </w:r>
      <w:r w:rsidRPr="000A3F1B">
        <w:rPr>
          <w:rStyle w:val="Hyperlink"/>
        </w:rPr>
        <w:t>consumer</w:t>
      </w:r>
      <w:r>
        <w:rPr>
          <w:rStyle w:val="Hyperlink"/>
        </w:rPr>
        <w:t>@mbie.govt.nz</w:t>
      </w:r>
      <w:r>
        <w:rPr>
          <w:b/>
          <w:i/>
        </w:rPr>
        <w:t>.</w:t>
      </w:r>
      <w:bookmarkEnd w:id="0"/>
    </w:p>
    <w:p w14:paraId="08F0BCF9" w14:textId="2B5D9706" w:rsidR="002401F1" w:rsidRPr="00F037FB" w:rsidRDefault="002401F1" w:rsidP="002401F1">
      <w:pPr>
        <w:pStyle w:val="Heading2"/>
        <w:rPr>
          <w:i/>
        </w:rPr>
      </w:pPr>
      <w:r w:rsidRPr="00F037FB">
        <w:lastRenderedPageBreak/>
        <w:t xml:space="preserve">Submission on discussion document: </w:t>
      </w:r>
      <w:r w:rsidR="00F037FB" w:rsidRPr="00F037FB">
        <w:rPr>
          <w:i/>
        </w:rPr>
        <w:t>Fit for purpose co</w:t>
      </w:r>
      <w:r w:rsidR="00F037FB">
        <w:rPr>
          <w:i/>
        </w:rPr>
        <w:t xml:space="preserve">nsumer credit </w:t>
      </w:r>
      <w:proofErr w:type="gramStart"/>
      <w:r w:rsidR="00F037FB">
        <w:rPr>
          <w:i/>
        </w:rPr>
        <w:t>legislation</w:t>
      </w:r>
      <w:proofErr w:type="gramEnd"/>
    </w:p>
    <w:p w14:paraId="4466A170" w14:textId="77777777" w:rsidR="00312754" w:rsidRDefault="00312754" w:rsidP="00312754">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0"/>
        <w:gridCol w:w="7400"/>
      </w:tblGrid>
      <w:tr w:rsidR="00312754" w:rsidRPr="00AE6026" w14:paraId="0CA3C934" w14:textId="77777777" w:rsidTr="004E2460">
        <w:tc>
          <w:tcPr>
            <w:tcW w:w="1668" w:type="dxa"/>
            <w:tcBorders>
              <w:left w:val="single" w:sz="4" w:space="0" w:color="006666"/>
            </w:tcBorders>
            <w:shd w:val="clear" w:color="auto" w:fill="auto"/>
          </w:tcPr>
          <w:p w14:paraId="304C1C88" w14:textId="77777777" w:rsidR="00312754" w:rsidRPr="00AE6026" w:rsidRDefault="00312754" w:rsidP="004E2460">
            <w:pPr>
              <w:rPr>
                <w:b/>
                <w:bCs/>
              </w:rPr>
            </w:pPr>
            <w:r w:rsidRPr="00AE6026">
              <w:rPr>
                <w:b/>
                <w:bCs/>
              </w:rPr>
              <w:t>Name</w:t>
            </w:r>
          </w:p>
        </w:tc>
        <w:tc>
          <w:tcPr>
            <w:tcW w:w="7618" w:type="dxa"/>
            <w:tcBorders>
              <w:right w:val="single" w:sz="4" w:space="0" w:color="006666"/>
            </w:tcBorders>
            <w:shd w:val="clear" w:color="auto" w:fill="auto"/>
          </w:tcPr>
          <w:p w14:paraId="72EF54E3" w14:textId="77777777" w:rsidR="00312754" w:rsidRDefault="00312754" w:rsidP="004E2460"/>
          <w:p w14:paraId="62986D3E" w14:textId="77777777" w:rsidR="00312754" w:rsidRPr="00AE6026" w:rsidRDefault="00312754" w:rsidP="004E2460"/>
        </w:tc>
      </w:tr>
      <w:tr w:rsidR="00312754" w:rsidRPr="00AE6026" w14:paraId="7C9755ED" w14:textId="77777777" w:rsidTr="004E2460">
        <w:tc>
          <w:tcPr>
            <w:tcW w:w="1668" w:type="dxa"/>
            <w:tcBorders>
              <w:left w:val="single" w:sz="4" w:space="0" w:color="006666"/>
            </w:tcBorders>
            <w:shd w:val="clear" w:color="auto" w:fill="auto"/>
          </w:tcPr>
          <w:p w14:paraId="026A9607" w14:textId="77777777" w:rsidR="00312754" w:rsidRPr="00AE6026" w:rsidRDefault="00312754" w:rsidP="004E2460">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E0A3E9E" w14:textId="77777777" w:rsidR="00312754" w:rsidRDefault="00312754" w:rsidP="004E2460"/>
          <w:p w14:paraId="7A111674" w14:textId="77777777" w:rsidR="00312754" w:rsidRPr="00AE6026" w:rsidRDefault="00312754" w:rsidP="004E2460"/>
        </w:tc>
      </w:tr>
      <w:tr w:rsidR="00312754" w:rsidRPr="00AE6026" w14:paraId="67D6C2AE" w14:textId="77777777" w:rsidTr="004E2460">
        <w:tc>
          <w:tcPr>
            <w:tcW w:w="1668" w:type="dxa"/>
            <w:tcBorders>
              <w:left w:val="single" w:sz="4" w:space="0" w:color="006666"/>
            </w:tcBorders>
            <w:shd w:val="clear" w:color="auto" w:fill="auto"/>
          </w:tcPr>
          <w:p w14:paraId="54C8539E" w14:textId="77777777" w:rsidR="00312754" w:rsidRDefault="00312754" w:rsidP="004E2460">
            <w:pPr>
              <w:rPr>
                <w:b/>
                <w:bCs/>
              </w:rPr>
            </w:pPr>
            <w:r>
              <w:rPr>
                <w:b/>
                <w:bCs/>
              </w:rPr>
              <w:t xml:space="preserve">Contact </w:t>
            </w:r>
            <w:proofErr w:type="gramStart"/>
            <w:r>
              <w:rPr>
                <w:b/>
                <w:bCs/>
              </w:rPr>
              <w:t>details</w:t>
            </w:r>
            <w:proofErr w:type="gramEnd"/>
          </w:p>
          <w:p w14:paraId="243CAB3E" w14:textId="77777777" w:rsidR="00312754" w:rsidRPr="00AE6026" w:rsidRDefault="00312754" w:rsidP="004E2460">
            <w:pPr>
              <w:rPr>
                <w:b/>
                <w:bCs/>
              </w:rPr>
            </w:pPr>
          </w:p>
        </w:tc>
        <w:tc>
          <w:tcPr>
            <w:tcW w:w="7618" w:type="dxa"/>
            <w:tcBorders>
              <w:right w:val="single" w:sz="4" w:space="0" w:color="006666"/>
            </w:tcBorders>
            <w:shd w:val="clear" w:color="auto" w:fill="auto"/>
          </w:tcPr>
          <w:p w14:paraId="46823101" w14:textId="77777777" w:rsidR="00312754" w:rsidRDefault="00312754" w:rsidP="004E2460"/>
          <w:p w14:paraId="0B9ED825" w14:textId="77777777" w:rsidR="00312754" w:rsidRDefault="00312754" w:rsidP="004E2460"/>
        </w:tc>
      </w:tr>
    </w:tbl>
    <w:p w14:paraId="34F772BD" w14:textId="77777777" w:rsidR="00312754" w:rsidRPr="00DD1F99" w:rsidRDefault="00312754" w:rsidP="00312754">
      <w:pPr>
        <w:spacing w:before="240"/>
      </w:pPr>
      <w:r w:rsidRPr="00DD1F99">
        <w:t>[Double click on check boxes, then select ‘checked’ if you wish to</w:t>
      </w:r>
      <w:r>
        <w:t xml:space="preserve"> select any of the following.]</w:t>
      </w:r>
    </w:p>
    <w:p w14:paraId="13F99B39" w14:textId="77777777" w:rsidR="00312754" w:rsidRDefault="00312754" w:rsidP="00312754">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F65A4B">
        <w:rPr>
          <w:rFonts w:ascii="MS Gothic" w:eastAsia="MS Gothic" w:hAnsi="MS Gothic"/>
          <w:lang w:val="en-US"/>
        </w:rPr>
      </w:r>
      <w:r w:rsidR="00F65A4B">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69C49606" w14:textId="77777777" w:rsidR="00312754" w:rsidRDefault="00312754" w:rsidP="00312754">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F65A4B">
        <w:rPr>
          <w:rFonts w:ascii="MS Gothic" w:eastAsia="MS Gothic" w:hAnsi="MS Gothic"/>
          <w:lang w:val="en-US"/>
        </w:rPr>
      </w:r>
      <w:r w:rsidR="00F65A4B">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8"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35BC467D" w14:textId="77777777" w:rsidR="00312754" w:rsidRDefault="00312754" w:rsidP="00312754">
      <w:pPr>
        <w:pBdr>
          <w:top w:val="single" w:sz="4" w:space="1" w:color="auto"/>
          <w:left w:val="single" w:sz="4" w:space="4" w:color="auto"/>
          <w:bottom w:val="single" w:sz="4" w:space="1" w:color="auto"/>
          <w:right w:val="single" w:sz="4" w:space="4" w:color="auto"/>
        </w:pBdr>
        <w:spacing w:before="240"/>
      </w:pPr>
      <w:r>
        <w:t>I do not want my submission placed on MBIE’s website because… [</w:t>
      </w:r>
      <w:r w:rsidRPr="004B08C6">
        <w:rPr>
          <w:i/>
          <w:iCs/>
        </w:rPr>
        <w:t>Insert text</w:t>
      </w:r>
      <w:r>
        <w:t>]</w:t>
      </w:r>
    </w:p>
    <w:p w14:paraId="12E8E8E1" w14:textId="77777777" w:rsidR="00312754" w:rsidRPr="00B249F7" w:rsidRDefault="00312754" w:rsidP="00312754">
      <w:pPr>
        <w:pStyle w:val="Heading3"/>
      </w:pPr>
      <w:r w:rsidRPr="00B249F7">
        <w:t xml:space="preserve">Please </w:t>
      </w:r>
      <w:r>
        <w:t>check</w:t>
      </w:r>
      <w:r w:rsidRPr="00B249F7">
        <w:t xml:space="preserve"> if your submission contains confidential information:</w:t>
      </w:r>
    </w:p>
    <w:p w14:paraId="0C3AAD73" w14:textId="77777777" w:rsidR="00312754" w:rsidRDefault="00312754" w:rsidP="00312754">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F65A4B">
        <w:rPr>
          <w:rFonts w:ascii="MS Gothic" w:eastAsia="MS Gothic" w:hAnsi="MS Gothic"/>
          <w:lang w:val="en-US"/>
        </w:rPr>
      </w:r>
      <w:r w:rsidR="00F65A4B">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w:t>
      </w:r>
      <w:proofErr w:type="gramStart"/>
      <w:r>
        <w:t>confidential, and</w:t>
      </w:r>
      <w:proofErr w:type="gramEnd"/>
      <w:r>
        <w:t xml:space="preserve">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7D3F25D7" w14:textId="139E50D5" w:rsidR="00312754" w:rsidRDefault="00312754" w:rsidP="00740B10">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w:t>
      </w:r>
      <w:r w:rsidRPr="004B08C6">
        <w:rPr>
          <w:i/>
          <w:iCs/>
        </w:rPr>
        <w:t>Insert text</w:t>
      </w:r>
      <w:r>
        <w:t>]</w:t>
      </w:r>
    </w:p>
    <w:p w14:paraId="1D2929E0" w14:textId="77777777" w:rsidR="00740B10" w:rsidRDefault="00740B10" w:rsidP="002401F1">
      <w:pPr>
        <w:pStyle w:val="Heading3"/>
      </w:pPr>
      <w:r>
        <w:br w:type="page"/>
      </w:r>
    </w:p>
    <w:p w14:paraId="25B1CF77" w14:textId="13396D77" w:rsidR="002401F1" w:rsidRPr="00D37FA5" w:rsidRDefault="002401F1" w:rsidP="002401F1">
      <w:pPr>
        <w:pStyle w:val="Heading3"/>
      </w:pPr>
      <w:r>
        <w:lastRenderedPageBreak/>
        <w:t>Responses to discussion document questions</w:t>
      </w:r>
    </w:p>
    <w:tbl>
      <w:tblPr>
        <w:tblW w:w="9069" w:type="dxa"/>
        <w:tblBorders>
          <w:bottom w:val="single" w:sz="24" w:space="0" w:color="006272"/>
          <w:insideH w:val="single" w:sz="4" w:space="0" w:color="006272"/>
        </w:tblBorders>
        <w:tblLook w:val="04A0" w:firstRow="1" w:lastRow="0" w:firstColumn="1" w:lastColumn="0" w:noHBand="0" w:noVBand="1"/>
      </w:tblPr>
      <w:tblGrid>
        <w:gridCol w:w="567"/>
        <w:gridCol w:w="8502"/>
      </w:tblGrid>
      <w:tr w:rsidR="002401F1" w:rsidRPr="00AE6026" w14:paraId="4DE93466" w14:textId="77777777" w:rsidTr="7E1C2007">
        <w:trPr>
          <w:trHeight w:val="516"/>
        </w:trPr>
        <w:tc>
          <w:tcPr>
            <w:tcW w:w="9069" w:type="dxa"/>
            <w:gridSpan w:val="2"/>
            <w:shd w:val="clear" w:color="auto" w:fill="006272"/>
            <w:vAlign w:val="center"/>
          </w:tcPr>
          <w:p w14:paraId="1FB56D0C" w14:textId="4F0C027F" w:rsidR="002401F1" w:rsidRPr="00415D75" w:rsidRDefault="00F037FB" w:rsidP="00DB0C38">
            <w:pPr>
              <w:pStyle w:val="BodyText"/>
              <w:numPr>
                <w:ilvl w:val="3"/>
                <w:numId w:val="1"/>
              </w:numPr>
              <w:jc w:val="center"/>
              <w:rPr>
                <w:b/>
                <w:i w:val="0"/>
                <w:iCs/>
                <w:color w:val="FFFFFF" w:themeColor="background1"/>
              </w:rPr>
            </w:pPr>
            <w:r w:rsidRPr="00415D75">
              <w:rPr>
                <w:b/>
                <w:i w:val="0"/>
                <w:iCs/>
                <w:color w:val="FFFFFF" w:themeColor="background1"/>
              </w:rPr>
              <w:t xml:space="preserve">Options to amend the CCCFA to enable the FMA to carry out its role </w:t>
            </w:r>
            <w:proofErr w:type="gramStart"/>
            <w:r w:rsidRPr="00415D75">
              <w:rPr>
                <w:b/>
                <w:i w:val="0"/>
                <w:iCs/>
                <w:color w:val="FFFFFF" w:themeColor="background1"/>
              </w:rPr>
              <w:t>effectively</w:t>
            </w:r>
            <w:proofErr w:type="gramEnd"/>
          </w:p>
          <w:p w14:paraId="3170C2AD" w14:textId="6F119FFC" w:rsidR="00274930" w:rsidRPr="00415D75" w:rsidRDefault="7E1C2007" w:rsidP="00DB0C38">
            <w:pPr>
              <w:pStyle w:val="BodyText"/>
              <w:numPr>
                <w:ilvl w:val="0"/>
                <w:numId w:val="11"/>
              </w:numPr>
              <w:jc w:val="center"/>
              <w:rPr>
                <w:b/>
                <w:bCs/>
                <w:i w:val="0"/>
              </w:rPr>
            </w:pPr>
            <w:r w:rsidRPr="7E1C2007">
              <w:rPr>
                <w:b/>
                <w:bCs/>
                <w:i w:val="0"/>
                <w:color w:val="FFFFFF" w:themeColor="background1"/>
              </w:rPr>
              <w:t xml:space="preserve">Options for liability settings </w:t>
            </w:r>
          </w:p>
        </w:tc>
      </w:tr>
      <w:tr w:rsidR="0099436D" w:rsidRPr="00AE6026" w14:paraId="0A719DCA" w14:textId="77777777" w:rsidTr="00DB0C38">
        <w:trPr>
          <w:trHeight w:val="300"/>
        </w:trPr>
        <w:tc>
          <w:tcPr>
            <w:tcW w:w="567" w:type="dxa"/>
            <w:shd w:val="clear" w:color="auto" w:fill="006272"/>
            <w:vAlign w:val="center"/>
          </w:tcPr>
          <w:p w14:paraId="068C06D3" w14:textId="77777777" w:rsidR="002401F1" w:rsidRPr="008B2448" w:rsidRDefault="002401F1" w:rsidP="00DB0C38">
            <w:pPr>
              <w:pStyle w:val="Questionnumber"/>
              <w:numPr>
                <w:ilvl w:val="0"/>
                <w:numId w:val="2"/>
              </w:numPr>
              <w:ind w:left="442" w:hanging="357"/>
            </w:pPr>
          </w:p>
        </w:tc>
        <w:tc>
          <w:tcPr>
            <w:tcW w:w="8502" w:type="dxa"/>
            <w:shd w:val="clear" w:color="auto" w:fill="auto"/>
            <w:vAlign w:val="center"/>
          </w:tcPr>
          <w:p w14:paraId="44EE70FE" w14:textId="0186ED71" w:rsidR="002401F1" w:rsidRPr="00A745D6" w:rsidRDefault="000C48D3" w:rsidP="003466B0">
            <w:pPr>
              <w:pStyle w:val="BodyText"/>
              <w:rPr>
                <w:b/>
              </w:rPr>
            </w:pPr>
            <w:r w:rsidRPr="6C6FE5EA">
              <w:rPr>
                <w:rFonts w:eastAsia="Calibri" w:cs="Calibri"/>
                <w:color w:val="000000" w:themeColor="text1"/>
              </w:rPr>
              <w:t xml:space="preserve">Do you have any evidence or experience of </w:t>
            </w:r>
            <w:r>
              <w:rPr>
                <w:rFonts w:eastAsia="Calibri" w:cs="Calibri"/>
                <w:color w:val="000000" w:themeColor="text1"/>
              </w:rPr>
              <w:t xml:space="preserve">the due diligence duty and personal liability resulting in </w:t>
            </w:r>
            <w:r w:rsidRPr="6C6FE5EA">
              <w:rPr>
                <w:rFonts w:eastAsia="Calibri" w:cs="Calibri"/>
                <w:color w:val="000000" w:themeColor="text1"/>
              </w:rPr>
              <w:t>overly conservative approaches to complying with the CCCFA? What impact did this have on consumers? How common do you think this is?</w:t>
            </w:r>
          </w:p>
        </w:tc>
      </w:tr>
      <w:tr w:rsidR="0099436D" w:rsidRPr="00AE6026" w14:paraId="4E4E401A" w14:textId="77777777" w:rsidTr="00DB0C38">
        <w:trPr>
          <w:trHeight w:val="300"/>
        </w:trPr>
        <w:tc>
          <w:tcPr>
            <w:tcW w:w="567" w:type="dxa"/>
            <w:shd w:val="clear" w:color="auto" w:fill="006272"/>
            <w:vAlign w:val="center"/>
          </w:tcPr>
          <w:p w14:paraId="43BEF5DF" w14:textId="77777777" w:rsidR="002401F1" w:rsidRPr="008B2448" w:rsidRDefault="002401F1" w:rsidP="000F1909">
            <w:pPr>
              <w:pStyle w:val="Questionnumber"/>
              <w:jc w:val="left"/>
            </w:pPr>
          </w:p>
        </w:tc>
        <w:tc>
          <w:tcPr>
            <w:tcW w:w="8502" w:type="dxa"/>
            <w:shd w:val="clear" w:color="auto" w:fill="auto"/>
            <w:vAlign w:val="center"/>
          </w:tcPr>
          <w:p w14:paraId="0FEB3B4A" w14:textId="77777777" w:rsidR="002401F1" w:rsidRPr="00AE6026" w:rsidRDefault="002401F1" w:rsidP="000F1909">
            <w:pPr>
              <w:pStyle w:val="BodyText"/>
            </w:pPr>
          </w:p>
        </w:tc>
      </w:tr>
      <w:tr w:rsidR="0099436D" w:rsidRPr="00AE6026" w14:paraId="3670DBF4" w14:textId="77777777" w:rsidTr="00DB0C38">
        <w:trPr>
          <w:trHeight w:val="300"/>
        </w:trPr>
        <w:tc>
          <w:tcPr>
            <w:tcW w:w="567" w:type="dxa"/>
            <w:shd w:val="clear" w:color="auto" w:fill="006272"/>
            <w:vAlign w:val="center"/>
          </w:tcPr>
          <w:p w14:paraId="2AC21CA1" w14:textId="012E7080" w:rsidR="00F037FB" w:rsidRPr="008B2448" w:rsidRDefault="00F037FB" w:rsidP="00F037FB">
            <w:pPr>
              <w:pStyle w:val="Questionnumber"/>
            </w:pPr>
            <w:r w:rsidRPr="008B2448">
              <w:t>2</w:t>
            </w:r>
          </w:p>
        </w:tc>
        <w:tc>
          <w:tcPr>
            <w:tcW w:w="8502" w:type="dxa"/>
            <w:shd w:val="clear" w:color="auto" w:fill="auto"/>
            <w:vAlign w:val="center"/>
          </w:tcPr>
          <w:p w14:paraId="73D11072" w14:textId="68522E22" w:rsidR="00F037FB" w:rsidRPr="00AE6026" w:rsidRDefault="00F037FB" w:rsidP="000F1909">
            <w:pPr>
              <w:pStyle w:val="BodyText"/>
            </w:pPr>
            <w:r w:rsidRPr="6C6FE5EA">
              <w:rPr>
                <w:rFonts w:eastAsia="Calibri" w:cs="Calibri"/>
                <w:color w:val="000000" w:themeColor="text1"/>
              </w:rPr>
              <w:t>Do you have any observations about how the impact of the due diligence duty and personal liability works may or may not depend on the size of the lender?</w:t>
            </w:r>
          </w:p>
        </w:tc>
      </w:tr>
      <w:tr w:rsidR="0099436D" w:rsidRPr="00AE6026" w14:paraId="7617914F" w14:textId="77777777" w:rsidTr="00DB0C38">
        <w:trPr>
          <w:trHeight w:val="300"/>
        </w:trPr>
        <w:tc>
          <w:tcPr>
            <w:tcW w:w="567" w:type="dxa"/>
            <w:shd w:val="clear" w:color="auto" w:fill="006272"/>
            <w:vAlign w:val="center"/>
          </w:tcPr>
          <w:p w14:paraId="22B2E0E8" w14:textId="77777777" w:rsidR="00F037FB" w:rsidRPr="008B2448" w:rsidRDefault="00F037FB" w:rsidP="000F1909">
            <w:pPr>
              <w:pStyle w:val="Questionnumber"/>
              <w:jc w:val="left"/>
            </w:pPr>
          </w:p>
        </w:tc>
        <w:tc>
          <w:tcPr>
            <w:tcW w:w="8502" w:type="dxa"/>
            <w:shd w:val="clear" w:color="auto" w:fill="auto"/>
            <w:vAlign w:val="center"/>
          </w:tcPr>
          <w:p w14:paraId="436ADFC6" w14:textId="77777777" w:rsidR="00F037FB" w:rsidRPr="00AE6026" w:rsidRDefault="00F037FB" w:rsidP="000F1909">
            <w:pPr>
              <w:pStyle w:val="BodyText"/>
            </w:pPr>
          </w:p>
        </w:tc>
      </w:tr>
      <w:tr w:rsidR="0099436D" w:rsidRPr="00AE6026" w14:paraId="58DE1362" w14:textId="77777777" w:rsidTr="00DB0C38">
        <w:trPr>
          <w:trHeight w:val="300"/>
        </w:trPr>
        <w:tc>
          <w:tcPr>
            <w:tcW w:w="567" w:type="dxa"/>
            <w:shd w:val="clear" w:color="auto" w:fill="006272"/>
            <w:vAlign w:val="center"/>
          </w:tcPr>
          <w:p w14:paraId="096C6EB2" w14:textId="09E89246" w:rsidR="00F037FB" w:rsidRPr="008B2448" w:rsidRDefault="00F037FB" w:rsidP="00F037FB">
            <w:pPr>
              <w:pStyle w:val="Questionnumber"/>
            </w:pPr>
            <w:r w:rsidRPr="008B2448">
              <w:t>3</w:t>
            </w:r>
          </w:p>
        </w:tc>
        <w:tc>
          <w:tcPr>
            <w:tcW w:w="8502" w:type="dxa"/>
            <w:shd w:val="clear" w:color="auto" w:fill="auto"/>
            <w:vAlign w:val="center"/>
          </w:tcPr>
          <w:p w14:paraId="1FDF6979" w14:textId="1FD06C2F" w:rsidR="00F037FB" w:rsidRPr="00AE6026" w:rsidRDefault="7E1C2007" w:rsidP="3DCD9B46">
            <w:pPr>
              <w:pStyle w:val="BodyText"/>
              <w:rPr>
                <w:rFonts w:eastAsia="Calibri" w:cs="Calibri"/>
                <w:color w:val="000000" w:themeColor="text1"/>
              </w:rPr>
            </w:pPr>
            <w:r w:rsidRPr="7E1C2007">
              <w:rPr>
                <w:rFonts w:eastAsia="Calibri" w:cs="Calibri"/>
                <w:color w:val="000000" w:themeColor="text1"/>
              </w:rPr>
              <w:t>Are you aware of any other problems with these liability settings?</w:t>
            </w:r>
          </w:p>
        </w:tc>
      </w:tr>
      <w:tr w:rsidR="00576A47" w:rsidRPr="00AE6026" w14:paraId="505D6498" w14:textId="77777777" w:rsidTr="00DB0C38">
        <w:trPr>
          <w:trHeight w:val="300"/>
        </w:trPr>
        <w:tc>
          <w:tcPr>
            <w:tcW w:w="567" w:type="dxa"/>
            <w:shd w:val="clear" w:color="auto" w:fill="006272"/>
            <w:vAlign w:val="center"/>
          </w:tcPr>
          <w:p w14:paraId="65493C1B" w14:textId="77777777" w:rsidR="00576A47" w:rsidRPr="008B2448" w:rsidRDefault="00576A47" w:rsidP="00F037FB">
            <w:pPr>
              <w:pStyle w:val="Questionnumber"/>
            </w:pPr>
          </w:p>
        </w:tc>
        <w:tc>
          <w:tcPr>
            <w:tcW w:w="8502" w:type="dxa"/>
            <w:shd w:val="clear" w:color="auto" w:fill="auto"/>
            <w:vAlign w:val="center"/>
          </w:tcPr>
          <w:p w14:paraId="4593C0EF" w14:textId="77777777" w:rsidR="00576A47" w:rsidRPr="6C6FE5EA" w:rsidRDefault="00576A47" w:rsidP="000F1909">
            <w:pPr>
              <w:pStyle w:val="BodyText"/>
              <w:rPr>
                <w:rFonts w:eastAsia="Calibri" w:cs="Calibri"/>
                <w:color w:val="000000" w:themeColor="text1"/>
              </w:rPr>
            </w:pPr>
          </w:p>
        </w:tc>
      </w:tr>
      <w:tr w:rsidR="00F428FC" w:rsidRPr="00AE6026" w14:paraId="202A423F" w14:textId="77777777" w:rsidTr="7E1C2007">
        <w:trPr>
          <w:trHeight w:val="300"/>
        </w:trPr>
        <w:tc>
          <w:tcPr>
            <w:tcW w:w="9069" w:type="dxa"/>
            <w:gridSpan w:val="2"/>
            <w:shd w:val="clear" w:color="auto" w:fill="006272"/>
            <w:vAlign w:val="center"/>
          </w:tcPr>
          <w:p w14:paraId="19EC7AA8" w14:textId="26A802B4" w:rsidR="00F428FC" w:rsidRPr="00415D75" w:rsidRDefault="00F428FC" w:rsidP="00F428FC">
            <w:pPr>
              <w:pStyle w:val="BodyText"/>
              <w:rPr>
                <w:rFonts w:eastAsia="Calibri" w:cs="Calibri"/>
                <w:bCs/>
                <w:color w:val="000000" w:themeColor="text1"/>
              </w:rPr>
            </w:pPr>
            <w:r w:rsidRPr="00415D75">
              <w:rPr>
                <w:bCs/>
                <w:color w:val="FFFFFF" w:themeColor="background1"/>
              </w:rPr>
              <w:t>Option A1: Retain the due diligence duty but remove restrictions on indemnities and insurance (preferred)</w:t>
            </w:r>
            <w:r w:rsidRPr="00415D75">
              <w:rPr>
                <w:rFonts w:eastAsia="Calibri" w:cs="Calibri"/>
                <w:bCs/>
                <w:color w:val="000000" w:themeColor="text1"/>
              </w:rPr>
              <w:t xml:space="preserve"> </w:t>
            </w:r>
          </w:p>
        </w:tc>
      </w:tr>
      <w:tr w:rsidR="005B115B" w:rsidRPr="00AE6026" w14:paraId="2E6E5D96" w14:textId="77777777" w:rsidTr="00DB0C38">
        <w:trPr>
          <w:trHeight w:val="300"/>
        </w:trPr>
        <w:tc>
          <w:tcPr>
            <w:tcW w:w="567" w:type="dxa"/>
            <w:shd w:val="clear" w:color="auto" w:fill="006272"/>
            <w:vAlign w:val="center"/>
          </w:tcPr>
          <w:p w14:paraId="4EFA64EF" w14:textId="430A73A9" w:rsidR="005B115B" w:rsidRPr="008B2448" w:rsidRDefault="00EC5DAF" w:rsidP="005B115B">
            <w:pPr>
              <w:pStyle w:val="Questionnumber"/>
            </w:pPr>
            <w:r>
              <w:t>4</w:t>
            </w:r>
          </w:p>
        </w:tc>
        <w:tc>
          <w:tcPr>
            <w:tcW w:w="8502" w:type="dxa"/>
            <w:shd w:val="clear" w:color="auto" w:fill="auto"/>
          </w:tcPr>
          <w:p w14:paraId="76FEF79E" w14:textId="4639DA6F" w:rsidR="005B115B" w:rsidRPr="00576A47" w:rsidRDefault="005B115B" w:rsidP="005B115B">
            <w:pPr>
              <w:pStyle w:val="BodyText"/>
              <w:rPr>
                <w:b/>
                <w:color w:val="FFFFFF" w:themeColor="background1"/>
              </w:rPr>
            </w:pPr>
            <w:r w:rsidRPr="6C6FE5EA">
              <w:rPr>
                <w:rFonts w:eastAsia="Calibri" w:cs="Calibri"/>
                <w:color w:val="000000" w:themeColor="text1"/>
              </w:rPr>
              <w:t>If lenders were able to indemnify their directors and senior managers from liability for pecuniary penalties (and costs), what difference (if any) would you expect that to make to how those individuals and the company as a whole approach the due diligence duty?</w:t>
            </w:r>
            <w:r>
              <w:t xml:space="preserve"> </w:t>
            </w:r>
          </w:p>
        </w:tc>
      </w:tr>
      <w:tr w:rsidR="005B115B" w:rsidRPr="00AE6026" w14:paraId="21E97EB1" w14:textId="77777777" w:rsidTr="00DB0C38">
        <w:trPr>
          <w:trHeight w:val="300"/>
        </w:trPr>
        <w:tc>
          <w:tcPr>
            <w:tcW w:w="567" w:type="dxa"/>
            <w:shd w:val="clear" w:color="auto" w:fill="006272"/>
            <w:vAlign w:val="center"/>
          </w:tcPr>
          <w:p w14:paraId="31D464D4" w14:textId="77777777" w:rsidR="005B115B" w:rsidRPr="008B2448" w:rsidRDefault="005B115B" w:rsidP="005B115B">
            <w:pPr>
              <w:pStyle w:val="Questionnumber"/>
            </w:pPr>
          </w:p>
        </w:tc>
        <w:tc>
          <w:tcPr>
            <w:tcW w:w="8502" w:type="dxa"/>
            <w:shd w:val="clear" w:color="auto" w:fill="auto"/>
          </w:tcPr>
          <w:p w14:paraId="3C2CE8BD" w14:textId="77777777" w:rsidR="005B115B" w:rsidRPr="6C6FE5EA" w:rsidRDefault="005B115B" w:rsidP="005B115B">
            <w:pPr>
              <w:pStyle w:val="BodyText"/>
              <w:rPr>
                <w:rFonts w:eastAsia="Calibri" w:cs="Calibri"/>
                <w:color w:val="000000" w:themeColor="text1"/>
              </w:rPr>
            </w:pPr>
          </w:p>
        </w:tc>
      </w:tr>
      <w:tr w:rsidR="005B115B" w:rsidRPr="00AE6026" w14:paraId="17F44033" w14:textId="77777777" w:rsidTr="00DB0C38">
        <w:trPr>
          <w:trHeight w:val="300"/>
        </w:trPr>
        <w:tc>
          <w:tcPr>
            <w:tcW w:w="567" w:type="dxa"/>
            <w:shd w:val="clear" w:color="auto" w:fill="006272"/>
            <w:vAlign w:val="center"/>
          </w:tcPr>
          <w:p w14:paraId="5F48E991" w14:textId="0303E002" w:rsidR="005B115B" w:rsidRPr="008B2448" w:rsidRDefault="00EC5DAF" w:rsidP="005B115B">
            <w:pPr>
              <w:pStyle w:val="Questionnumber"/>
            </w:pPr>
            <w:r>
              <w:t>5</w:t>
            </w:r>
          </w:p>
        </w:tc>
        <w:tc>
          <w:tcPr>
            <w:tcW w:w="8502" w:type="dxa"/>
            <w:shd w:val="clear" w:color="auto" w:fill="auto"/>
          </w:tcPr>
          <w:p w14:paraId="0B35546B" w14:textId="7962E83E" w:rsidR="005B115B" w:rsidRPr="00576A47" w:rsidRDefault="005B115B" w:rsidP="005B115B">
            <w:pPr>
              <w:pStyle w:val="BodyText"/>
              <w:rPr>
                <w:b/>
                <w:color w:val="FFFFFF" w:themeColor="background1"/>
              </w:rPr>
            </w:pPr>
            <w:r w:rsidRPr="6C6FE5EA">
              <w:rPr>
                <w:rFonts w:eastAsia="Calibri" w:cs="Calibri"/>
                <w:color w:val="000000" w:themeColor="text1"/>
              </w:rPr>
              <w:t>If insurance were available for pecuniary penalties liability, what difference (if any) would you expect that to make to how directors and senior managers and the company as a whole meet their due diligence duty? Do you have any information about how affordable that insurance might be for different types of lenders?</w:t>
            </w:r>
          </w:p>
        </w:tc>
      </w:tr>
      <w:tr w:rsidR="005B115B" w:rsidRPr="00AE6026" w14:paraId="42733A51" w14:textId="77777777" w:rsidTr="00DB0C38">
        <w:trPr>
          <w:trHeight w:val="300"/>
        </w:trPr>
        <w:tc>
          <w:tcPr>
            <w:tcW w:w="567" w:type="dxa"/>
            <w:shd w:val="clear" w:color="auto" w:fill="006272"/>
            <w:vAlign w:val="center"/>
          </w:tcPr>
          <w:p w14:paraId="393302D9" w14:textId="77777777" w:rsidR="005B115B" w:rsidRPr="008B2448" w:rsidRDefault="005B115B" w:rsidP="005B115B">
            <w:pPr>
              <w:pStyle w:val="Questionnumber"/>
            </w:pPr>
          </w:p>
        </w:tc>
        <w:tc>
          <w:tcPr>
            <w:tcW w:w="8502" w:type="dxa"/>
            <w:shd w:val="clear" w:color="auto" w:fill="auto"/>
          </w:tcPr>
          <w:p w14:paraId="7501003E" w14:textId="77777777" w:rsidR="005B115B" w:rsidRPr="6C6FE5EA" w:rsidRDefault="005B115B" w:rsidP="005B115B">
            <w:pPr>
              <w:pStyle w:val="BodyText"/>
              <w:rPr>
                <w:rFonts w:eastAsia="Calibri" w:cs="Calibri"/>
                <w:color w:val="000000" w:themeColor="text1"/>
              </w:rPr>
            </w:pPr>
          </w:p>
        </w:tc>
      </w:tr>
      <w:tr w:rsidR="005B115B" w:rsidRPr="00AE6026" w14:paraId="3C801E37" w14:textId="77777777" w:rsidTr="7E1C2007">
        <w:trPr>
          <w:trHeight w:val="516"/>
        </w:trPr>
        <w:tc>
          <w:tcPr>
            <w:tcW w:w="9069" w:type="dxa"/>
            <w:gridSpan w:val="2"/>
            <w:shd w:val="clear" w:color="auto" w:fill="006272"/>
            <w:vAlign w:val="center"/>
          </w:tcPr>
          <w:p w14:paraId="7D2CD8A5" w14:textId="1EBEC704" w:rsidR="005B115B" w:rsidRPr="00415D75" w:rsidRDefault="7E1C2007" w:rsidP="00274930">
            <w:pPr>
              <w:pStyle w:val="BodyText"/>
            </w:pPr>
            <w:r w:rsidRPr="7E1C2007">
              <w:rPr>
                <w:color w:val="FFFFFF" w:themeColor="background1"/>
              </w:rPr>
              <w:t>Option A2: Remove due diligence duty for licenced lenders</w:t>
            </w:r>
          </w:p>
        </w:tc>
      </w:tr>
      <w:tr w:rsidR="005B115B" w:rsidRPr="00AE6026" w14:paraId="483617DF" w14:textId="77777777" w:rsidTr="00DB0C38">
        <w:trPr>
          <w:trHeight w:val="300"/>
        </w:trPr>
        <w:tc>
          <w:tcPr>
            <w:tcW w:w="567" w:type="dxa"/>
            <w:shd w:val="clear" w:color="auto" w:fill="006272"/>
            <w:vAlign w:val="center"/>
          </w:tcPr>
          <w:p w14:paraId="3B953E90" w14:textId="29357863" w:rsidR="005B115B" w:rsidRPr="008B2448" w:rsidRDefault="7E1C2007" w:rsidP="7E1C2007">
            <w:pPr>
              <w:pStyle w:val="Questionnumber"/>
            </w:pPr>
            <w:r>
              <w:t>6</w:t>
            </w:r>
          </w:p>
        </w:tc>
        <w:tc>
          <w:tcPr>
            <w:tcW w:w="8502" w:type="dxa"/>
            <w:shd w:val="clear" w:color="auto" w:fill="auto"/>
            <w:vAlign w:val="center"/>
          </w:tcPr>
          <w:p w14:paraId="678DDBCC" w14:textId="6AC2B084" w:rsidR="005B115B" w:rsidRPr="00AE6026" w:rsidRDefault="005B115B" w:rsidP="005B115B">
            <w:pPr>
              <w:pStyle w:val="BodyText"/>
            </w:pPr>
            <w:r w:rsidRPr="6C6FE5EA">
              <w:rPr>
                <w:rFonts w:eastAsia="Calibri" w:cs="Calibri"/>
                <w:color w:val="000000" w:themeColor="text1"/>
              </w:rPr>
              <w:t xml:space="preserve">Do you agree that the due diligence duty is less likely to be needed for lenders who are sophisticated enough to be licensed under the CoFI </w:t>
            </w:r>
            <w:r>
              <w:rPr>
                <w:rFonts w:eastAsia="Calibri" w:cs="Calibri"/>
                <w:color w:val="000000" w:themeColor="text1"/>
              </w:rPr>
              <w:t>Act</w:t>
            </w:r>
            <w:r w:rsidRPr="6C6FE5EA">
              <w:rPr>
                <w:rFonts w:eastAsia="Calibri" w:cs="Calibri"/>
                <w:color w:val="000000" w:themeColor="text1"/>
              </w:rPr>
              <w:t>? Why/Why not?</w:t>
            </w:r>
          </w:p>
        </w:tc>
      </w:tr>
      <w:tr w:rsidR="005B115B" w:rsidRPr="00AE6026" w14:paraId="1EA2E89E" w14:textId="77777777" w:rsidTr="00DB0C38">
        <w:trPr>
          <w:trHeight w:val="300"/>
        </w:trPr>
        <w:tc>
          <w:tcPr>
            <w:tcW w:w="567" w:type="dxa"/>
            <w:shd w:val="clear" w:color="auto" w:fill="006272"/>
            <w:vAlign w:val="center"/>
          </w:tcPr>
          <w:p w14:paraId="5E3E9C07" w14:textId="77777777" w:rsidR="005B115B" w:rsidRPr="008B2448" w:rsidRDefault="005B115B" w:rsidP="005B115B">
            <w:pPr>
              <w:pStyle w:val="Questionnumber"/>
              <w:jc w:val="left"/>
              <w:rPr>
                <w:bCs/>
              </w:rPr>
            </w:pPr>
          </w:p>
        </w:tc>
        <w:tc>
          <w:tcPr>
            <w:tcW w:w="8502" w:type="dxa"/>
            <w:shd w:val="clear" w:color="auto" w:fill="auto"/>
            <w:vAlign w:val="center"/>
          </w:tcPr>
          <w:p w14:paraId="22F4A677" w14:textId="77777777" w:rsidR="005B115B" w:rsidRPr="00AE6026" w:rsidRDefault="005B115B" w:rsidP="005B115B">
            <w:pPr>
              <w:pStyle w:val="BodyText"/>
            </w:pPr>
          </w:p>
        </w:tc>
      </w:tr>
      <w:tr w:rsidR="005B115B" w:rsidRPr="00AE6026" w14:paraId="267780B2" w14:textId="77777777" w:rsidTr="00DB0C38">
        <w:trPr>
          <w:trHeight w:val="300"/>
        </w:trPr>
        <w:tc>
          <w:tcPr>
            <w:tcW w:w="567" w:type="dxa"/>
            <w:shd w:val="clear" w:color="auto" w:fill="006272"/>
            <w:vAlign w:val="center"/>
          </w:tcPr>
          <w:p w14:paraId="5C2D72C0" w14:textId="25DB9267" w:rsidR="005B115B" w:rsidRPr="008B2448" w:rsidRDefault="7E1C2007" w:rsidP="7E1C2007">
            <w:pPr>
              <w:pStyle w:val="Questionnumber"/>
            </w:pPr>
            <w:r>
              <w:t>7</w:t>
            </w:r>
          </w:p>
        </w:tc>
        <w:tc>
          <w:tcPr>
            <w:tcW w:w="8502" w:type="dxa"/>
            <w:shd w:val="clear" w:color="auto" w:fill="auto"/>
            <w:vAlign w:val="center"/>
          </w:tcPr>
          <w:p w14:paraId="5698295C" w14:textId="0FBB22C1" w:rsidR="005B115B" w:rsidRPr="00AE6026" w:rsidRDefault="7E1C2007" w:rsidP="005B115B">
            <w:pPr>
              <w:pStyle w:val="BodyText"/>
            </w:pPr>
            <w:r w:rsidRPr="7E1C2007">
              <w:rPr>
                <w:rFonts w:eastAsia="Calibri" w:cs="Calibri"/>
                <w:color w:val="000000" w:themeColor="text1"/>
              </w:rPr>
              <w:t>How well do you think licensing and ongoing supervision by the FMA could replace the need for due diligence and personal liability? Does this depend on the kind of lender? If so, how?</w:t>
            </w:r>
          </w:p>
        </w:tc>
      </w:tr>
      <w:tr w:rsidR="005B115B" w:rsidRPr="00AE6026" w14:paraId="1F14986F" w14:textId="77777777" w:rsidTr="00DB0C38">
        <w:trPr>
          <w:trHeight w:val="300"/>
        </w:trPr>
        <w:tc>
          <w:tcPr>
            <w:tcW w:w="567" w:type="dxa"/>
            <w:shd w:val="clear" w:color="auto" w:fill="006272"/>
            <w:vAlign w:val="center"/>
          </w:tcPr>
          <w:p w14:paraId="5190F113" w14:textId="77777777" w:rsidR="005B115B" w:rsidRPr="008B2448" w:rsidRDefault="005B115B" w:rsidP="005B115B">
            <w:pPr>
              <w:pStyle w:val="Questionnumber"/>
              <w:jc w:val="left"/>
              <w:rPr>
                <w:bCs/>
              </w:rPr>
            </w:pPr>
          </w:p>
        </w:tc>
        <w:tc>
          <w:tcPr>
            <w:tcW w:w="8502" w:type="dxa"/>
            <w:shd w:val="clear" w:color="auto" w:fill="auto"/>
            <w:vAlign w:val="center"/>
          </w:tcPr>
          <w:p w14:paraId="407D3986" w14:textId="77777777" w:rsidR="005B115B" w:rsidRPr="00AE6026" w:rsidRDefault="005B115B" w:rsidP="005B115B">
            <w:pPr>
              <w:pStyle w:val="BodyText"/>
            </w:pPr>
          </w:p>
        </w:tc>
      </w:tr>
      <w:tr w:rsidR="005B115B" w:rsidRPr="00AE6026" w14:paraId="76288110" w14:textId="77777777" w:rsidTr="00DB0C38">
        <w:trPr>
          <w:trHeight w:val="300"/>
        </w:trPr>
        <w:tc>
          <w:tcPr>
            <w:tcW w:w="567" w:type="dxa"/>
            <w:shd w:val="clear" w:color="auto" w:fill="006272"/>
            <w:vAlign w:val="center"/>
          </w:tcPr>
          <w:p w14:paraId="481ABEDF" w14:textId="4B435603" w:rsidR="005B115B" w:rsidRPr="008B2448" w:rsidRDefault="7E1C2007" w:rsidP="7E1C2007">
            <w:pPr>
              <w:pStyle w:val="Questionnumber"/>
            </w:pPr>
            <w:r>
              <w:t>8</w:t>
            </w:r>
          </w:p>
        </w:tc>
        <w:tc>
          <w:tcPr>
            <w:tcW w:w="8502" w:type="dxa"/>
            <w:shd w:val="clear" w:color="auto" w:fill="auto"/>
            <w:vAlign w:val="center"/>
          </w:tcPr>
          <w:p w14:paraId="45194994" w14:textId="59E49185" w:rsidR="005B115B" w:rsidRPr="00AE6026" w:rsidRDefault="7E1C2007" w:rsidP="005B115B">
            <w:pPr>
              <w:pStyle w:val="BodyText"/>
            </w:pPr>
            <w:r w:rsidRPr="7E1C2007">
              <w:rPr>
                <w:rFonts w:eastAsia="Calibri" w:cs="Calibri"/>
                <w:color w:val="000000" w:themeColor="text1"/>
              </w:rPr>
              <w:t xml:space="preserve">What impacts might </w:t>
            </w:r>
            <w:proofErr w:type="gramStart"/>
            <w:r w:rsidRPr="7E1C2007">
              <w:rPr>
                <w:rFonts w:eastAsia="Calibri" w:cs="Calibri"/>
                <w:color w:val="000000" w:themeColor="text1"/>
              </w:rPr>
              <w:t>options</w:t>
            </w:r>
            <w:proofErr w:type="gramEnd"/>
            <w:r w:rsidRPr="7E1C2007">
              <w:rPr>
                <w:rFonts w:eastAsia="Calibri" w:cs="Calibri"/>
                <w:color w:val="000000" w:themeColor="text1"/>
              </w:rPr>
              <w:t xml:space="preserve"> A1 and A2 have on lenders and consumers compared to the status quo? For lenders, how would you expect lender decision-making and compliance cultures to change under these options?</w:t>
            </w:r>
          </w:p>
        </w:tc>
      </w:tr>
      <w:tr w:rsidR="005B115B" w:rsidRPr="00AE6026" w14:paraId="7EA9D366" w14:textId="77777777" w:rsidTr="00DB0C38">
        <w:trPr>
          <w:trHeight w:val="300"/>
        </w:trPr>
        <w:tc>
          <w:tcPr>
            <w:tcW w:w="567" w:type="dxa"/>
            <w:shd w:val="clear" w:color="auto" w:fill="006272"/>
            <w:vAlign w:val="center"/>
          </w:tcPr>
          <w:p w14:paraId="0AEC3BE6" w14:textId="77777777" w:rsidR="005B115B" w:rsidRPr="00516BF5" w:rsidRDefault="005B115B" w:rsidP="005B115B">
            <w:pPr>
              <w:pStyle w:val="Questionnumber"/>
              <w:jc w:val="left"/>
              <w:rPr>
                <w:b w:val="0"/>
              </w:rPr>
            </w:pPr>
          </w:p>
        </w:tc>
        <w:tc>
          <w:tcPr>
            <w:tcW w:w="8502" w:type="dxa"/>
            <w:shd w:val="clear" w:color="auto" w:fill="auto"/>
            <w:vAlign w:val="center"/>
          </w:tcPr>
          <w:p w14:paraId="23C2AE6A" w14:textId="77777777" w:rsidR="005B115B" w:rsidRPr="00AE6026" w:rsidRDefault="005B115B" w:rsidP="005B115B">
            <w:pPr>
              <w:pStyle w:val="BodyText"/>
            </w:pPr>
          </w:p>
        </w:tc>
      </w:tr>
      <w:tr w:rsidR="7E1C2007" w14:paraId="77368B3F" w14:textId="77777777" w:rsidTr="7E1C2007">
        <w:trPr>
          <w:trHeight w:val="300"/>
        </w:trPr>
        <w:tc>
          <w:tcPr>
            <w:tcW w:w="9069" w:type="dxa"/>
            <w:gridSpan w:val="2"/>
            <w:shd w:val="clear" w:color="auto" w:fill="006272"/>
            <w:vAlign w:val="center"/>
          </w:tcPr>
          <w:p w14:paraId="572DA530" w14:textId="7E249CEB" w:rsidR="7E1C2007" w:rsidRDefault="00DB0C38" w:rsidP="7E1C2007">
            <w:pPr>
              <w:pStyle w:val="BodyText"/>
              <w:jc w:val="center"/>
              <w:rPr>
                <w:b/>
                <w:bCs/>
                <w:i w:val="0"/>
              </w:rPr>
            </w:pPr>
            <w:r>
              <w:rPr>
                <w:b/>
                <w:bCs/>
                <w:i w:val="0"/>
                <w:color w:val="FFFFFF" w:themeColor="background1"/>
              </w:rPr>
              <w:t xml:space="preserve">B. </w:t>
            </w:r>
            <w:r w:rsidR="7E1C2007" w:rsidRPr="003E38DB">
              <w:rPr>
                <w:b/>
                <w:i w:val="0"/>
                <w:iCs/>
                <w:color w:val="FFFFFF" w:themeColor="background1"/>
              </w:rPr>
              <w:t>Options</w:t>
            </w:r>
            <w:r w:rsidR="7E1C2007" w:rsidRPr="7E1C2007">
              <w:rPr>
                <w:b/>
                <w:bCs/>
                <w:i w:val="0"/>
                <w:color w:val="FFFFFF" w:themeColor="background1"/>
              </w:rPr>
              <w:t xml:space="preserve"> for regulatory model</w:t>
            </w:r>
          </w:p>
        </w:tc>
      </w:tr>
      <w:tr w:rsidR="7E1C2007" w14:paraId="2DC1FF2B" w14:textId="77777777" w:rsidTr="00DB0C38">
        <w:trPr>
          <w:trHeight w:val="300"/>
        </w:trPr>
        <w:tc>
          <w:tcPr>
            <w:tcW w:w="567" w:type="dxa"/>
            <w:shd w:val="clear" w:color="auto" w:fill="006272"/>
            <w:vAlign w:val="center"/>
          </w:tcPr>
          <w:p w14:paraId="1A99AF0A" w14:textId="1B1C6643" w:rsidR="7E1C2007" w:rsidRDefault="7E1C2007" w:rsidP="7E1C2007">
            <w:pPr>
              <w:pStyle w:val="BodyText"/>
              <w:jc w:val="center"/>
              <w:rPr>
                <w:b/>
                <w:bCs/>
                <w:i w:val="0"/>
                <w:color w:val="FFFFFF" w:themeColor="background1"/>
              </w:rPr>
            </w:pPr>
            <w:r w:rsidRPr="7E1C2007">
              <w:rPr>
                <w:b/>
                <w:bCs/>
                <w:i w:val="0"/>
                <w:color w:val="FFFFFF" w:themeColor="background1"/>
              </w:rPr>
              <w:t>9</w:t>
            </w:r>
          </w:p>
        </w:tc>
        <w:tc>
          <w:tcPr>
            <w:tcW w:w="8502" w:type="dxa"/>
            <w:shd w:val="clear" w:color="auto" w:fill="auto"/>
            <w:vAlign w:val="center"/>
          </w:tcPr>
          <w:p w14:paraId="3A27526D" w14:textId="3345ABE9" w:rsidR="7E1C2007" w:rsidRDefault="7E1C2007" w:rsidP="7E1C2007">
            <w:pPr>
              <w:pStyle w:val="BodyText"/>
            </w:pPr>
            <w:r>
              <w:t>Do you agree that these are a fair reflection of the minimum legislative changes that are required to transition credit to the FMA? If not, please explain</w:t>
            </w:r>
          </w:p>
        </w:tc>
      </w:tr>
      <w:tr w:rsidR="7E1C2007" w14:paraId="11FD0376" w14:textId="77777777" w:rsidTr="00DB0C38">
        <w:trPr>
          <w:trHeight w:val="300"/>
        </w:trPr>
        <w:tc>
          <w:tcPr>
            <w:tcW w:w="567" w:type="dxa"/>
            <w:shd w:val="clear" w:color="auto" w:fill="006272"/>
            <w:vAlign w:val="center"/>
          </w:tcPr>
          <w:p w14:paraId="6FC1D0AC" w14:textId="7114D41E" w:rsidR="7E1C2007" w:rsidRDefault="7E1C2007" w:rsidP="7E1C2007">
            <w:pPr>
              <w:pStyle w:val="BodyText"/>
              <w:rPr>
                <w:color w:val="FFFFFF" w:themeColor="background1"/>
              </w:rPr>
            </w:pPr>
          </w:p>
        </w:tc>
        <w:tc>
          <w:tcPr>
            <w:tcW w:w="8502" w:type="dxa"/>
            <w:shd w:val="clear" w:color="auto" w:fill="auto"/>
            <w:vAlign w:val="center"/>
          </w:tcPr>
          <w:p w14:paraId="3B8F0E3D" w14:textId="5C829F68" w:rsidR="7E1C2007" w:rsidRDefault="7E1C2007" w:rsidP="7E1C2007">
            <w:pPr>
              <w:pStyle w:val="BodyText"/>
            </w:pPr>
          </w:p>
        </w:tc>
      </w:tr>
      <w:tr w:rsidR="7E1C2007" w14:paraId="564D43CE" w14:textId="77777777" w:rsidTr="7E1C2007">
        <w:trPr>
          <w:trHeight w:val="300"/>
        </w:trPr>
        <w:tc>
          <w:tcPr>
            <w:tcW w:w="9069" w:type="dxa"/>
            <w:gridSpan w:val="2"/>
            <w:shd w:val="clear" w:color="auto" w:fill="006272"/>
            <w:vAlign w:val="center"/>
          </w:tcPr>
          <w:p w14:paraId="6978DD71" w14:textId="0DB839AD" w:rsidR="7E1C2007" w:rsidRDefault="7E1C2007" w:rsidP="7E1C2007">
            <w:pPr>
              <w:pStyle w:val="BodyText"/>
              <w:rPr>
                <w:color w:val="FFFFFF" w:themeColor="background1"/>
              </w:rPr>
            </w:pPr>
            <w:r w:rsidRPr="7E1C2007">
              <w:rPr>
                <w:color w:val="FFFFFF" w:themeColor="background1"/>
              </w:rPr>
              <w:t>Option B1: Transition to a market services licence and apply all FMA core and licencing powers to consumer credit (preferred)</w:t>
            </w:r>
          </w:p>
        </w:tc>
      </w:tr>
      <w:tr w:rsidR="005B115B" w:rsidRPr="00AE6026" w14:paraId="635B93C8" w14:textId="77777777" w:rsidTr="0057631B">
        <w:trPr>
          <w:trHeight w:val="300"/>
        </w:trPr>
        <w:tc>
          <w:tcPr>
            <w:tcW w:w="567" w:type="dxa"/>
            <w:shd w:val="clear" w:color="auto" w:fill="006272"/>
            <w:vAlign w:val="center"/>
          </w:tcPr>
          <w:p w14:paraId="1B081C1D" w14:textId="74F0AD21" w:rsidR="005B115B" w:rsidRDefault="7E1C2007" w:rsidP="7E1C2007">
            <w:pPr>
              <w:pStyle w:val="Questionnumber"/>
              <w:ind w:left="442" w:hanging="357"/>
            </w:pPr>
            <w:r>
              <w:t>10</w:t>
            </w:r>
          </w:p>
        </w:tc>
        <w:tc>
          <w:tcPr>
            <w:tcW w:w="8502" w:type="dxa"/>
            <w:shd w:val="clear" w:color="auto" w:fill="auto"/>
            <w:vAlign w:val="center"/>
          </w:tcPr>
          <w:p w14:paraId="353F959E" w14:textId="23141047" w:rsidR="005B115B" w:rsidRPr="00AB7DD0" w:rsidRDefault="7E1C2007" w:rsidP="005B115B">
            <w:pPr>
              <w:pStyle w:val="BodyText"/>
              <w:rPr>
                <w:lang w:val="en-US"/>
              </w:rPr>
            </w:pPr>
            <w:r>
              <w:t>What implications would you expect from adopting a licencing approach and the associated regulatory tools for credit?</w:t>
            </w:r>
          </w:p>
        </w:tc>
      </w:tr>
      <w:tr w:rsidR="005B115B" w:rsidRPr="00AE6026" w14:paraId="15D5A922" w14:textId="77777777" w:rsidTr="0057631B">
        <w:trPr>
          <w:trHeight w:val="300"/>
        </w:trPr>
        <w:tc>
          <w:tcPr>
            <w:tcW w:w="567" w:type="dxa"/>
            <w:shd w:val="clear" w:color="auto" w:fill="006272"/>
            <w:vAlign w:val="center"/>
          </w:tcPr>
          <w:p w14:paraId="0E64E75E" w14:textId="77777777" w:rsidR="005B115B" w:rsidRDefault="005B115B" w:rsidP="7E1C2007">
            <w:pPr>
              <w:pStyle w:val="Questionnumber"/>
              <w:ind w:left="442"/>
            </w:pPr>
          </w:p>
        </w:tc>
        <w:tc>
          <w:tcPr>
            <w:tcW w:w="8502" w:type="dxa"/>
            <w:shd w:val="clear" w:color="auto" w:fill="auto"/>
            <w:vAlign w:val="center"/>
          </w:tcPr>
          <w:p w14:paraId="500CCB07" w14:textId="77777777" w:rsidR="005B115B" w:rsidRDefault="005B115B" w:rsidP="005B115B">
            <w:pPr>
              <w:pStyle w:val="BodyText"/>
              <w:rPr>
                <w:b/>
                <w:color w:val="FFFFFF"/>
              </w:rPr>
            </w:pPr>
          </w:p>
        </w:tc>
      </w:tr>
      <w:tr w:rsidR="005B115B" w:rsidRPr="00AE6026" w14:paraId="12A3B2AF" w14:textId="77777777" w:rsidTr="0057631B">
        <w:trPr>
          <w:trHeight w:val="300"/>
        </w:trPr>
        <w:tc>
          <w:tcPr>
            <w:tcW w:w="567" w:type="dxa"/>
            <w:shd w:val="clear" w:color="auto" w:fill="006272"/>
            <w:vAlign w:val="center"/>
          </w:tcPr>
          <w:p w14:paraId="0FBCCC50" w14:textId="6A12367F" w:rsidR="005B115B" w:rsidRDefault="7E1C2007" w:rsidP="7E1C2007">
            <w:pPr>
              <w:pStyle w:val="Questionnumber"/>
              <w:ind w:left="442" w:hanging="357"/>
            </w:pPr>
            <w:r>
              <w:t>11</w:t>
            </w:r>
          </w:p>
        </w:tc>
        <w:tc>
          <w:tcPr>
            <w:tcW w:w="8502" w:type="dxa"/>
            <w:shd w:val="clear" w:color="auto" w:fill="auto"/>
            <w:vAlign w:val="center"/>
          </w:tcPr>
          <w:p w14:paraId="58F6E45D" w14:textId="4404A0BB" w:rsidR="005B115B" w:rsidRPr="00103563" w:rsidRDefault="00CA133E" w:rsidP="005B115B">
            <w:pPr>
              <w:pStyle w:val="BodyText"/>
            </w:pPr>
            <w:r>
              <w:t>What modifications to the FMA’s existing regulatory tools, such as stop orders, should we consider if extending them to the CCCFA under this option?</w:t>
            </w:r>
          </w:p>
        </w:tc>
      </w:tr>
      <w:tr w:rsidR="005B115B" w:rsidRPr="00AE6026" w14:paraId="102858B5" w14:textId="77777777" w:rsidTr="0057631B">
        <w:trPr>
          <w:trHeight w:val="300"/>
        </w:trPr>
        <w:tc>
          <w:tcPr>
            <w:tcW w:w="567" w:type="dxa"/>
            <w:shd w:val="clear" w:color="auto" w:fill="006272"/>
            <w:vAlign w:val="center"/>
          </w:tcPr>
          <w:p w14:paraId="2D0A9075" w14:textId="77777777" w:rsidR="005B115B" w:rsidRDefault="005B115B" w:rsidP="7E1C2007">
            <w:pPr>
              <w:pStyle w:val="Questionnumber"/>
              <w:ind w:left="442"/>
            </w:pPr>
          </w:p>
        </w:tc>
        <w:tc>
          <w:tcPr>
            <w:tcW w:w="8502" w:type="dxa"/>
            <w:shd w:val="clear" w:color="auto" w:fill="auto"/>
            <w:vAlign w:val="center"/>
          </w:tcPr>
          <w:p w14:paraId="0954AAC7" w14:textId="77777777" w:rsidR="005B115B" w:rsidRDefault="005B115B" w:rsidP="005B115B">
            <w:pPr>
              <w:pStyle w:val="BodyText"/>
              <w:rPr>
                <w:b/>
                <w:color w:val="FFFFFF"/>
              </w:rPr>
            </w:pPr>
          </w:p>
        </w:tc>
      </w:tr>
      <w:tr w:rsidR="005B115B" w:rsidRPr="00AE6026" w14:paraId="54137EAC" w14:textId="77777777" w:rsidTr="0057631B">
        <w:trPr>
          <w:trHeight w:val="300"/>
        </w:trPr>
        <w:tc>
          <w:tcPr>
            <w:tcW w:w="567" w:type="dxa"/>
            <w:shd w:val="clear" w:color="auto" w:fill="006272"/>
            <w:vAlign w:val="center"/>
          </w:tcPr>
          <w:p w14:paraId="0FDEFC6B" w14:textId="0E982E3B" w:rsidR="005B115B" w:rsidRDefault="7E1C2007" w:rsidP="7E1C2007">
            <w:pPr>
              <w:pStyle w:val="Questionnumber"/>
              <w:ind w:left="442" w:hanging="357"/>
            </w:pPr>
            <w:r>
              <w:t>12</w:t>
            </w:r>
          </w:p>
        </w:tc>
        <w:tc>
          <w:tcPr>
            <w:tcW w:w="8502" w:type="dxa"/>
            <w:shd w:val="clear" w:color="auto" w:fill="auto"/>
            <w:vAlign w:val="center"/>
          </w:tcPr>
          <w:p w14:paraId="78865262" w14:textId="3DA81031" w:rsidR="005B115B" w:rsidRPr="00494322" w:rsidRDefault="00CA133E" w:rsidP="005B115B">
            <w:pPr>
              <w:pStyle w:val="BodyText"/>
            </w:pPr>
            <w:r>
              <w:t>What do you think about the transitional licence approach, including what time periods are appropriate?</w:t>
            </w:r>
          </w:p>
        </w:tc>
      </w:tr>
      <w:tr w:rsidR="005B115B" w:rsidRPr="00AE6026" w14:paraId="14E1E9CE" w14:textId="77777777" w:rsidTr="0057631B">
        <w:trPr>
          <w:trHeight w:val="300"/>
        </w:trPr>
        <w:tc>
          <w:tcPr>
            <w:tcW w:w="567" w:type="dxa"/>
            <w:shd w:val="clear" w:color="auto" w:fill="006272"/>
            <w:vAlign w:val="center"/>
          </w:tcPr>
          <w:p w14:paraId="0AEF7D1B" w14:textId="77777777" w:rsidR="005B115B" w:rsidRDefault="005B115B" w:rsidP="005B115B">
            <w:pPr>
              <w:pStyle w:val="Questionnumber"/>
              <w:ind w:left="442"/>
              <w:jc w:val="left"/>
            </w:pPr>
          </w:p>
        </w:tc>
        <w:tc>
          <w:tcPr>
            <w:tcW w:w="8502" w:type="dxa"/>
            <w:shd w:val="clear" w:color="auto" w:fill="auto"/>
            <w:vAlign w:val="center"/>
          </w:tcPr>
          <w:p w14:paraId="209F2883" w14:textId="77777777" w:rsidR="005B115B" w:rsidRDefault="005B115B" w:rsidP="005B115B">
            <w:pPr>
              <w:pStyle w:val="BodyText"/>
              <w:rPr>
                <w:b/>
                <w:color w:val="FFFFFF"/>
              </w:rPr>
            </w:pPr>
          </w:p>
        </w:tc>
      </w:tr>
      <w:tr w:rsidR="005B115B" w:rsidRPr="00AE6026" w14:paraId="710B9C70" w14:textId="77777777" w:rsidTr="7E1C2007">
        <w:trPr>
          <w:trHeight w:val="300"/>
        </w:trPr>
        <w:tc>
          <w:tcPr>
            <w:tcW w:w="9069" w:type="dxa"/>
            <w:gridSpan w:val="2"/>
            <w:shd w:val="clear" w:color="auto" w:fill="006272"/>
            <w:vAlign w:val="center"/>
          </w:tcPr>
          <w:p w14:paraId="75985BED" w14:textId="3AA9D330" w:rsidR="005B115B" w:rsidRPr="00415D75" w:rsidRDefault="005B115B" w:rsidP="00415D75">
            <w:pPr>
              <w:pStyle w:val="BodyText"/>
              <w:rPr>
                <w:bCs/>
                <w:color w:val="FFFFFF"/>
              </w:rPr>
            </w:pPr>
            <w:r w:rsidRPr="00415D75">
              <w:rPr>
                <w:bCs/>
                <w:color w:val="FFFFFF"/>
              </w:rPr>
              <w:t xml:space="preserve">Option B2: </w:t>
            </w:r>
            <w:r w:rsidR="00CA133E" w:rsidRPr="00415D75">
              <w:rPr>
                <w:bCs/>
                <w:color w:val="FFFFFF"/>
              </w:rPr>
              <w:t xml:space="preserve">Retain ‘Fit and proper’ certification (status quo) </w:t>
            </w:r>
            <w:r w:rsidR="003856FE" w:rsidRPr="00415D75">
              <w:rPr>
                <w:bCs/>
                <w:color w:val="FFFFFF"/>
              </w:rPr>
              <w:t xml:space="preserve">and add FMA core tools for enforcing the regulatory perimeter </w:t>
            </w:r>
          </w:p>
        </w:tc>
      </w:tr>
      <w:tr w:rsidR="005B115B" w:rsidRPr="00AE6026" w14:paraId="1B99C69B" w14:textId="77777777" w:rsidTr="0057631B">
        <w:trPr>
          <w:trHeight w:val="300"/>
        </w:trPr>
        <w:tc>
          <w:tcPr>
            <w:tcW w:w="567" w:type="dxa"/>
            <w:shd w:val="clear" w:color="auto" w:fill="006272"/>
            <w:vAlign w:val="center"/>
          </w:tcPr>
          <w:p w14:paraId="657D72F1" w14:textId="3B436A8D" w:rsidR="005B115B" w:rsidRDefault="7E1C2007" w:rsidP="7E1C2007">
            <w:pPr>
              <w:pStyle w:val="Questionnumber"/>
              <w:ind w:left="442" w:hanging="357"/>
            </w:pPr>
            <w:r>
              <w:t>13</w:t>
            </w:r>
          </w:p>
        </w:tc>
        <w:tc>
          <w:tcPr>
            <w:tcW w:w="8502" w:type="dxa"/>
            <w:shd w:val="clear" w:color="auto" w:fill="auto"/>
            <w:vAlign w:val="center"/>
          </w:tcPr>
          <w:p w14:paraId="18AF63F1" w14:textId="2931B93F" w:rsidR="005B115B" w:rsidRPr="00D55B01" w:rsidRDefault="003856FE" w:rsidP="005B115B">
            <w:pPr>
              <w:pStyle w:val="BodyText"/>
            </w:pPr>
            <w:r w:rsidRPr="6C6FE5EA">
              <w:rPr>
                <w:rFonts w:eastAsia="Calibri" w:cs="Calibri"/>
                <w:color w:val="000000" w:themeColor="text1"/>
              </w:rPr>
              <w:t>Do you agree with our analysis about the relative benefits and risks of the certification model? Why/ why not?</w:t>
            </w:r>
          </w:p>
        </w:tc>
      </w:tr>
      <w:tr w:rsidR="005B115B" w:rsidRPr="00AE6026" w14:paraId="711BD698" w14:textId="77777777" w:rsidTr="0057631B">
        <w:trPr>
          <w:trHeight w:val="300"/>
        </w:trPr>
        <w:tc>
          <w:tcPr>
            <w:tcW w:w="567" w:type="dxa"/>
            <w:shd w:val="clear" w:color="auto" w:fill="006272"/>
            <w:vAlign w:val="center"/>
          </w:tcPr>
          <w:p w14:paraId="1DF2E677" w14:textId="77777777" w:rsidR="005B115B" w:rsidRDefault="005B115B" w:rsidP="7E1C2007">
            <w:pPr>
              <w:pStyle w:val="Questionnumber"/>
              <w:ind w:left="442" w:hanging="357"/>
            </w:pPr>
          </w:p>
        </w:tc>
        <w:tc>
          <w:tcPr>
            <w:tcW w:w="8502" w:type="dxa"/>
            <w:shd w:val="clear" w:color="auto" w:fill="auto"/>
            <w:vAlign w:val="center"/>
          </w:tcPr>
          <w:p w14:paraId="0A802519" w14:textId="77777777" w:rsidR="005B115B" w:rsidRDefault="005B115B" w:rsidP="005B115B">
            <w:pPr>
              <w:pStyle w:val="BodyText"/>
              <w:rPr>
                <w:b/>
                <w:color w:val="FFFFFF"/>
              </w:rPr>
            </w:pPr>
          </w:p>
        </w:tc>
      </w:tr>
      <w:tr w:rsidR="003856FE" w:rsidRPr="00AE6026" w14:paraId="06492A5C" w14:textId="77777777" w:rsidTr="0057631B">
        <w:trPr>
          <w:trHeight w:val="300"/>
        </w:trPr>
        <w:tc>
          <w:tcPr>
            <w:tcW w:w="567" w:type="dxa"/>
            <w:shd w:val="clear" w:color="auto" w:fill="006272"/>
            <w:vAlign w:val="center"/>
          </w:tcPr>
          <w:p w14:paraId="0CAC55B7" w14:textId="6744DD0E" w:rsidR="003856FE" w:rsidRDefault="7E1C2007" w:rsidP="7E1C2007">
            <w:pPr>
              <w:pStyle w:val="Questionnumber"/>
              <w:ind w:left="442" w:hanging="357"/>
            </w:pPr>
            <w:r>
              <w:t>14</w:t>
            </w:r>
          </w:p>
        </w:tc>
        <w:tc>
          <w:tcPr>
            <w:tcW w:w="8502" w:type="dxa"/>
            <w:shd w:val="clear" w:color="auto" w:fill="auto"/>
            <w:vAlign w:val="center"/>
          </w:tcPr>
          <w:p w14:paraId="4A60FFFB" w14:textId="7C8C481F" w:rsidR="003856FE" w:rsidRDefault="7E1C2007" w:rsidP="7E1C2007">
            <w:pPr>
              <w:pStyle w:val="BodyText"/>
              <w:rPr>
                <w:b/>
                <w:bCs/>
                <w:color w:val="FFFFFF"/>
              </w:rPr>
            </w:pPr>
            <w:r w:rsidRPr="7E1C2007">
              <w:rPr>
                <w:rFonts w:eastAsia="Calibri" w:cs="Calibri"/>
                <w:color w:val="000000" w:themeColor="text1"/>
              </w:rPr>
              <w:t>Are there additional tools that you consider the FMA should have to regulate credit, for examples tools like action plans or censures that are usually only available under a licensing model?</w:t>
            </w:r>
          </w:p>
        </w:tc>
      </w:tr>
      <w:tr w:rsidR="003856FE" w:rsidRPr="00AE6026" w14:paraId="3B4E6E2A" w14:textId="77777777" w:rsidTr="0057631B">
        <w:trPr>
          <w:trHeight w:val="300"/>
        </w:trPr>
        <w:tc>
          <w:tcPr>
            <w:tcW w:w="567" w:type="dxa"/>
            <w:shd w:val="clear" w:color="auto" w:fill="006272"/>
            <w:vAlign w:val="center"/>
          </w:tcPr>
          <w:p w14:paraId="1BDDB9EC" w14:textId="77777777" w:rsidR="003856FE" w:rsidRDefault="003856FE" w:rsidP="005B115B">
            <w:pPr>
              <w:pStyle w:val="Questionnumber"/>
              <w:ind w:left="442" w:hanging="357"/>
              <w:jc w:val="left"/>
            </w:pPr>
          </w:p>
        </w:tc>
        <w:tc>
          <w:tcPr>
            <w:tcW w:w="8502" w:type="dxa"/>
            <w:shd w:val="clear" w:color="auto" w:fill="auto"/>
            <w:vAlign w:val="center"/>
          </w:tcPr>
          <w:p w14:paraId="24325E0A" w14:textId="77777777" w:rsidR="003856FE" w:rsidRDefault="003856FE" w:rsidP="005B115B">
            <w:pPr>
              <w:pStyle w:val="BodyText"/>
              <w:rPr>
                <w:b/>
                <w:color w:val="FFFFFF"/>
              </w:rPr>
            </w:pPr>
          </w:p>
        </w:tc>
      </w:tr>
      <w:tr w:rsidR="005B115B" w:rsidRPr="00AE6026" w14:paraId="1F76FCF1" w14:textId="77777777" w:rsidTr="7E1C2007">
        <w:trPr>
          <w:trHeight w:val="300"/>
        </w:trPr>
        <w:tc>
          <w:tcPr>
            <w:tcW w:w="9069" w:type="dxa"/>
            <w:gridSpan w:val="2"/>
            <w:shd w:val="clear" w:color="auto" w:fill="006272"/>
            <w:vAlign w:val="center"/>
          </w:tcPr>
          <w:p w14:paraId="71E95536" w14:textId="0105E947" w:rsidR="005B115B" w:rsidRPr="00415D75" w:rsidRDefault="005B115B" w:rsidP="003E38DB">
            <w:pPr>
              <w:pStyle w:val="BodyText"/>
              <w:numPr>
                <w:ilvl w:val="3"/>
                <w:numId w:val="1"/>
              </w:numPr>
              <w:jc w:val="center"/>
              <w:rPr>
                <w:b/>
                <w:i w:val="0"/>
                <w:iCs/>
                <w:color w:val="FFFFFF"/>
              </w:rPr>
            </w:pPr>
            <w:r w:rsidRPr="00415D75">
              <w:rPr>
                <w:b/>
                <w:i w:val="0"/>
                <w:iCs/>
                <w:color w:val="FFFFFF"/>
              </w:rPr>
              <w:t>Options to amend disclosure requirements</w:t>
            </w:r>
          </w:p>
        </w:tc>
      </w:tr>
      <w:tr w:rsidR="005B115B" w:rsidRPr="00AE6026" w14:paraId="637A2593" w14:textId="77777777" w:rsidTr="7E1C2007">
        <w:trPr>
          <w:trHeight w:val="300"/>
        </w:trPr>
        <w:tc>
          <w:tcPr>
            <w:tcW w:w="9069" w:type="dxa"/>
            <w:gridSpan w:val="2"/>
            <w:shd w:val="clear" w:color="auto" w:fill="006272"/>
            <w:vAlign w:val="center"/>
          </w:tcPr>
          <w:p w14:paraId="70ED87A8" w14:textId="15E280CC" w:rsidR="005B115B" w:rsidRPr="003E38DB" w:rsidRDefault="005B115B" w:rsidP="003E38DB">
            <w:pPr>
              <w:pStyle w:val="BodyText"/>
              <w:numPr>
                <w:ilvl w:val="0"/>
                <w:numId w:val="12"/>
              </w:numPr>
              <w:jc w:val="center"/>
              <w:rPr>
                <w:b/>
                <w:i w:val="0"/>
                <w:iCs/>
                <w:color w:val="FFFFFF"/>
              </w:rPr>
            </w:pPr>
            <w:r w:rsidRPr="003E38DB">
              <w:rPr>
                <w:b/>
                <w:i w:val="0"/>
                <w:iCs/>
                <w:color w:val="FFFFFF"/>
              </w:rPr>
              <w:t>Options for what and when information must be disclosed</w:t>
            </w:r>
          </w:p>
        </w:tc>
      </w:tr>
      <w:tr w:rsidR="005B115B" w:rsidRPr="00AE6026" w14:paraId="64EC36A2" w14:textId="77777777" w:rsidTr="0057631B">
        <w:trPr>
          <w:trHeight w:val="300"/>
        </w:trPr>
        <w:tc>
          <w:tcPr>
            <w:tcW w:w="567" w:type="dxa"/>
            <w:shd w:val="clear" w:color="auto" w:fill="006272"/>
            <w:vAlign w:val="center"/>
          </w:tcPr>
          <w:p w14:paraId="32D27B00" w14:textId="1775DD8D" w:rsidR="005B115B" w:rsidRDefault="7E1C2007" w:rsidP="7E1C2007">
            <w:pPr>
              <w:pStyle w:val="Questionnumber"/>
              <w:ind w:left="442" w:hanging="357"/>
            </w:pPr>
            <w:r>
              <w:t>15</w:t>
            </w:r>
          </w:p>
        </w:tc>
        <w:tc>
          <w:tcPr>
            <w:tcW w:w="8502" w:type="dxa"/>
            <w:shd w:val="clear" w:color="auto" w:fill="auto"/>
            <w:vAlign w:val="center"/>
          </w:tcPr>
          <w:p w14:paraId="4FC5737C" w14:textId="275B3ADB" w:rsidR="005B115B" w:rsidRDefault="7E1C2007" w:rsidP="3DCD9B46">
            <w:pPr>
              <w:pStyle w:val="BodyText"/>
            </w:pPr>
            <w:r>
              <w:t>As a consumer, do you receive the right kind and amount of information to make informed decisions? Why/why not?</w:t>
            </w:r>
          </w:p>
        </w:tc>
      </w:tr>
      <w:tr w:rsidR="005B115B" w:rsidRPr="00AE6026" w14:paraId="4BAF5C0D" w14:textId="77777777" w:rsidTr="0057631B">
        <w:trPr>
          <w:trHeight w:val="300"/>
        </w:trPr>
        <w:tc>
          <w:tcPr>
            <w:tcW w:w="567" w:type="dxa"/>
            <w:shd w:val="clear" w:color="auto" w:fill="006272"/>
            <w:vAlign w:val="center"/>
          </w:tcPr>
          <w:p w14:paraId="4F7A4202" w14:textId="77777777" w:rsidR="005B115B" w:rsidRDefault="005B115B" w:rsidP="7E1C2007">
            <w:pPr>
              <w:pStyle w:val="Questionnumber"/>
              <w:ind w:left="442" w:hanging="357"/>
            </w:pPr>
          </w:p>
        </w:tc>
        <w:tc>
          <w:tcPr>
            <w:tcW w:w="8502" w:type="dxa"/>
            <w:shd w:val="clear" w:color="auto" w:fill="auto"/>
            <w:vAlign w:val="center"/>
          </w:tcPr>
          <w:p w14:paraId="20432A02" w14:textId="77777777" w:rsidR="005B115B" w:rsidRDefault="005B115B" w:rsidP="005B115B">
            <w:pPr>
              <w:pStyle w:val="BodyText"/>
              <w:rPr>
                <w:b/>
                <w:color w:val="FFFFFF"/>
              </w:rPr>
            </w:pPr>
          </w:p>
        </w:tc>
      </w:tr>
      <w:tr w:rsidR="005B115B" w:rsidRPr="00AE6026" w14:paraId="2D9F2CDC" w14:textId="77777777" w:rsidTr="0057631B">
        <w:trPr>
          <w:trHeight w:val="300"/>
        </w:trPr>
        <w:tc>
          <w:tcPr>
            <w:tcW w:w="567" w:type="dxa"/>
            <w:shd w:val="clear" w:color="auto" w:fill="006272"/>
            <w:vAlign w:val="center"/>
          </w:tcPr>
          <w:p w14:paraId="3AE8F819" w14:textId="3B9D0B24" w:rsidR="005B115B" w:rsidRDefault="7E1C2007" w:rsidP="7E1C2007">
            <w:pPr>
              <w:pStyle w:val="Questionnumber"/>
              <w:ind w:left="442" w:hanging="357"/>
            </w:pPr>
            <w:r>
              <w:t>16</w:t>
            </w:r>
          </w:p>
        </w:tc>
        <w:tc>
          <w:tcPr>
            <w:tcW w:w="8502" w:type="dxa"/>
            <w:shd w:val="clear" w:color="auto" w:fill="auto"/>
            <w:vAlign w:val="center"/>
          </w:tcPr>
          <w:p w14:paraId="1682A922" w14:textId="1556BDC4" w:rsidR="005B115B" w:rsidRDefault="7E1C2007" w:rsidP="3DCD9B46">
            <w:pPr>
              <w:pStyle w:val="BodyText"/>
              <w:rPr>
                <w:b/>
                <w:bCs/>
                <w:color w:val="FFFFFF"/>
              </w:rPr>
            </w:pPr>
            <w:r>
              <w:t>Do you consider any of the disclosure obligations to be irrelevant, confusing, or inappropriate? If so, please tell us what obligations you are referring to and what impact this has.</w:t>
            </w:r>
          </w:p>
        </w:tc>
      </w:tr>
      <w:tr w:rsidR="005B115B" w:rsidRPr="00AE6026" w14:paraId="185E34FF" w14:textId="77777777" w:rsidTr="0057631B">
        <w:trPr>
          <w:trHeight w:val="300"/>
        </w:trPr>
        <w:tc>
          <w:tcPr>
            <w:tcW w:w="567" w:type="dxa"/>
            <w:shd w:val="clear" w:color="auto" w:fill="006272"/>
            <w:vAlign w:val="center"/>
          </w:tcPr>
          <w:p w14:paraId="4E88AD8B" w14:textId="77777777" w:rsidR="005B115B" w:rsidRDefault="005B115B" w:rsidP="7E1C2007">
            <w:pPr>
              <w:pStyle w:val="Questionnumber"/>
              <w:ind w:left="442" w:hanging="357"/>
            </w:pPr>
          </w:p>
        </w:tc>
        <w:tc>
          <w:tcPr>
            <w:tcW w:w="8502" w:type="dxa"/>
            <w:shd w:val="clear" w:color="auto" w:fill="auto"/>
            <w:vAlign w:val="center"/>
          </w:tcPr>
          <w:p w14:paraId="6C767B1F" w14:textId="77777777" w:rsidR="005B115B" w:rsidRDefault="005B115B" w:rsidP="005B115B">
            <w:pPr>
              <w:pStyle w:val="BodyText"/>
              <w:rPr>
                <w:b/>
                <w:color w:val="FFFFFF"/>
              </w:rPr>
            </w:pPr>
          </w:p>
        </w:tc>
      </w:tr>
      <w:tr w:rsidR="005B115B" w:rsidRPr="00AE6026" w14:paraId="3929AECE" w14:textId="77777777" w:rsidTr="0057631B">
        <w:trPr>
          <w:trHeight w:val="300"/>
        </w:trPr>
        <w:tc>
          <w:tcPr>
            <w:tcW w:w="567" w:type="dxa"/>
            <w:shd w:val="clear" w:color="auto" w:fill="006272"/>
            <w:vAlign w:val="center"/>
          </w:tcPr>
          <w:p w14:paraId="7123E14B" w14:textId="475E2197" w:rsidR="005B115B" w:rsidRDefault="7E1C2007" w:rsidP="7E1C2007">
            <w:pPr>
              <w:pStyle w:val="Questionnumber"/>
              <w:ind w:left="442" w:hanging="357"/>
            </w:pPr>
            <w:r>
              <w:t>17</w:t>
            </w:r>
          </w:p>
        </w:tc>
        <w:tc>
          <w:tcPr>
            <w:tcW w:w="8502" w:type="dxa"/>
            <w:shd w:val="clear" w:color="auto" w:fill="auto"/>
            <w:vAlign w:val="center"/>
          </w:tcPr>
          <w:p w14:paraId="0886DF1A" w14:textId="1076FB57" w:rsidR="005B115B" w:rsidRDefault="005B115B" w:rsidP="005B115B">
            <w:pPr>
              <w:pStyle w:val="BodyText"/>
              <w:rPr>
                <w:b/>
                <w:color w:val="FFFFFF"/>
              </w:rPr>
            </w:pPr>
            <w:r>
              <w:t>How could disclosure obligations be more targeted to the consumer’s circumstances to ensure only relevant information is disclosed?</w:t>
            </w:r>
          </w:p>
        </w:tc>
      </w:tr>
      <w:tr w:rsidR="005B115B" w:rsidRPr="00AE6026" w14:paraId="48709A4E" w14:textId="77777777" w:rsidTr="0057631B">
        <w:trPr>
          <w:trHeight w:val="300"/>
        </w:trPr>
        <w:tc>
          <w:tcPr>
            <w:tcW w:w="567" w:type="dxa"/>
            <w:shd w:val="clear" w:color="auto" w:fill="006272"/>
            <w:vAlign w:val="center"/>
          </w:tcPr>
          <w:p w14:paraId="0F23DDD2" w14:textId="77777777" w:rsidR="005B115B" w:rsidRDefault="005B115B" w:rsidP="7E1C2007">
            <w:pPr>
              <w:pStyle w:val="Questionnumber"/>
              <w:ind w:left="442" w:hanging="357"/>
            </w:pPr>
          </w:p>
        </w:tc>
        <w:tc>
          <w:tcPr>
            <w:tcW w:w="8502" w:type="dxa"/>
            <w:shd w:val="clear" w:color="auto" w:fill="auto"/>
            <w:vAlign w:val="center"/>
          </w:tcPr>
          <w:p w14:paraId="6E01719E" w14:textId="77777777" w:rsidR="005B115B" w:rsidRDefault="005B115B" w:rsidP="005B115B">
            <w:pPr>
              <w:pStyle w:val="BodyText"/>
              <w:rPr>
                <w:b/>
                <w:color w:val="FFFFFF"/>
              </w:rPr>
            </w:pPr>
          </w:p>
        </w:tc>
      </w:tr>
      <w:tr w:rsidR="005B115B" w:rsidRPr="00AE6026" w14:paraId="3B15323C" w14:textId="77777777" w:rsidTr="0057631B">
        <w:trPr>
          <w:trHeight w:val="300"/>
        </w:trPr>
        <w:tc>
          <w:tcPr>
            <w:tcW w:w="567" w:type="dxa"/>
            <w:shd w:val="clear" w:color="auto" w:fill="006272"/>
            <w:vAlign w:val="center"/>
          </w:tcPr>
          <w:p w14:paraId="079D9F13" w14:textId="270E8A7D" w:rsidR="005B115B" w:rsidRDefault="7E1C2007" w:rsidP="7E1C2007">
            <w:pPr>
              <w:pStyle w:val="Questionnumber"/>
              <w:ind w:left="442" w:hanging="357"/>
            </w:pPr>
            <w:r>
              <w:t>18</w:t>
            </w:r>
          </w:p>
        </w:tc>
        <w:tc>
          <w:tcPr>
            <w:tcW w:w="8502" w:type="dxa"/>
            <w:shd w:val="clear" w:color="auto" w:fill="auto"/>
            <w:vAlign w:val="center"/>
          </w:tcPr>
          <w:p w14:paraId="44EC5F6A" w14:textId="1E6C3713" w:rsidR="005B115B" w:rsidRDefault="7E1C2007" w:rsidP="3DCD9B46">
            <w:pPr>
              <w:pStyle w:val="BodyText"/>
              <w:rPr>
                <w:b/>
                <w:bCs/>
                <w:color w:val="FFFFFF"/>
              </w:rPr>
            </w:pPr>
            <w:r>
              <w:t>Is the information set out in Regulations 4F and 4G both sufficient and do sections 22 and/or 23 require the right information to be disclosed when a contract is varied?</w:t>
            </w:r>
          </w:p>
        </w:tc>
      </w:tr>
      <w:tr w:rsidR="005B115B" w:rsidRPr="00AE6026" w14:paraId="38452CDB" w14:textId="77777777" w:rsidTr="0057631B">
        <w:trPr>
          <w:trHeight w:val="300"/>
        </w:trPr>
        <w:tc>
          <w:tcPr>
            <w:tcW w:w="567" w:type="dxa"/>
            <w:shd w:val="clear" w:color="auto" w:fill="006272"/>
            <w:vAlign w:val="center"/>
          </w:tcPr>
          <w:p w14:paraId="373501A3" w14:textId="77777777" w:rsidR="005B115B" w:rsidRDefault="005B115B" w:rsidP="7E1C2007">
            <w:pPr>
              <w:pStyle w:val="Questionnumber"/>
              <w:ind w:left="442" w:hanging="357"/>
            </w:pPr>
          </w:p>
        </w:tc>
        <w:tc>
          <w:tcPr>
            <w:tcW w:w="8502" w:type="dxa"/>
            <w:shd w:val="clear" w:color="auto" w:fill="auto"/>
            <w:vAlign w:val="center"/>
          </w:tcPr>
          <w:p w14:paraId="078C9BE4" w14:textId="77777777" w:rsidR="005B115B" w:rsidRDefault="005B115B" w:rsidP="005B115B">
            <w:pPr>
              <w:pStyle w:val="BodyText"/>
              <w:rPr>
                <w:b/>
                <w:color w:val="FFFFFF"/>
              </w:rPr>
            </w:pPr>
          </w:p>
        </w:tc>
      </w:tr>
      <w:tr w:rsidR="005B115B" w:rsidRPr="00AE6026" w14:paraId="666C2CE8" w14:textId="77777777" w:rsidTr="0057631B">
        <w:trPr>
          <w:trHeight w:val="300"/>
        </w:trPr>
        <w:tc>
          <w:tcPr>
            <w:tcW w:w="567" w:type="dxa"/>
            <w:shd w:val="clear" w:color="auto" w:fill="006272"/>
            <w:vAlign w:val="center"/>
          </w:tcPr>
          <w:p w14:paraId="50D69BC8" w14:textId="00A7AC7C" w:rsidR="005B115B" w:rsidRDefault="7E1C2007" w:rsidP="7E1C2007">
            <w:pPr>
              <w:pStyle w:val="Questionnumber"/>
              <w:ind w:left="442" w:hanging="357"/>
            </w:pPr>
            <w:r>
              <w:t>19</w:t>
            </w:r>
          </w:p>
        </w:tc>
        <w:tc>
          <w:tcPr>
            <w:tcW w:w="8502" w:type="dxa"/>
            <w:shd w:val="clear" w:color="auto" w:fill="auto"/>
            <w:vAlign w:val="center"/>
          </w:tcPr>
          <w:p w14:paraId="542339C5" w14:textId="12A121EF" w:rsidR="005B115B" w:rsidRDefault="005B115B" w:rsidP="005B115B">
            <w:pPr>
              <w:pStyle w:val="BodyText"/>
              <w:rPr>
                <w:b/>
                <w:color w:val="FFFFFF"/>
              </w:rPr>
            </w:pPr>
            <w:r>
              <w:t>Are there any other concerns or issues you would like to raise related to disclosure obligations?</w:t>
            </w:r>
          </w:p>
        </w:tc>
      </w:tr>
      <w:tr w:rsidR="005B115B" w:rsidRPr="00AE6026" w14:paraId="2E6D53F0" w14:textId="77777777" w:rsidTr="0057631B">
        <w:trPr>
          <w:trHeight w:val="300"/>
        </w:trPr>
        <w:tc>
          <w:tcPr>
            <w:tcW w:w="567" w:type="dxa"/>
            <w:shd w:val="clear" w:color="auto" w:fill="006272"/>
            <w:vAlign w:val="center"/>
          </w:tcPr>
          <w:p w14:paraId="5F03A129" w14:textId="77777777" w:rsidR="005B115B" w:rsidRDefault="005B115B" w:rsidP="005B115B">
            <w:pPr>
              <w:pStyle w:val="Questionnumber"/>
              <w:ind w:left="442" w:hanging="357"/>
              <w:jc w:val="left"/>
            </w:pPr>
          </w:p>
        </w:tc>
        <w:tc>
          <w:tcPr>
            <w:tcW w:w="8502" w:type="dxa"/>
            <w:shd w:val="clear" w:color="auto" w:fill="auto"/>
            <w:vAlign w:val="center"/>
          </w:tcPr>
          <w:p w14:paraId="294A9CC7" w14:textId="77777777" w:rsidR="005B115B" w:rsidRDefault="005B115B" w:rsidP="005B115B">
            <w:pPr>
              <w:pStyle w:val="BodyText"/>
              <w:rPr>
                <w:b/>
                <w:color w:val="FFFFFF"/>
              </w:rPr>
            </w:pPr>
          </w:p>
        </w:tc>
      </w:tr>
      <w:tr w:rsidR="005B115B" w:rsidRPr="00AE6026" w14:paraId="2940A825" w14:textId="77777777" w:rsidTr="7E1C2007">
        <w:trPr>
          <w:trHeight w:val="300"/>
        </w:trPr>
        <w:tc>
          <w:tcPr>
            <w:tcW w:w="9069" w:type="dxa"/>
            <w:gridSpan w:val="2"/>
            <w:shd w:val="clear" w:color="auto" w:fill="006272"/>
            <w:vAlign w:val="center"/>
          </w:tcPr>
          <w:p w14:paraId="0958A864" w14:textId="12955030" w:rsidR="005B115B" w:rsidRPr="003E38DB" w:rsidRDefault="005B115B" w:rsidP="003E38DB">
            <w:pPr>
              <w:pStyle w:val="BodyText"/>
              <w:numPr>
                <w:ilvl w:val="0"/>
                <w:numId w:val="12"/>
              </w:numPr>
              <w:jc w:val="center"/>
              <w:rPr>
                <w:b/>
                <w:i w:val="0"/>
                <w:iCs/>
                <w:color w:val="FFFFFF"/>
              </w:rPr>
            </w:pPr>
            <w:r w:rsidRPr="003E38DB">
              <w:rPr>
                <w:b/>
                <w:i w:val="0"/>
                <w:iCs/>
                <w:color w:val="FFFFFF"/>
              </w:rPr>
              <w:t>Options for how information must be disclosed</w:t>
            </w:r>
          </w:p>
        </w:tc>
      </w:tr>
      <w:tr w:rsidR="005B115B" w:rsidRPr="00AE6026" w14:paraId="234F1EF9" w14:textId="77777777" w:rsidTr="0057631B">
        <w:trPr>
          <w:trHeight w:val="300"/>
        </w:trPr>
        <w:tc>
          <w:tcPr>
            <w:tcW w:w="567" w:type="dxa"/>
            <w:shd w:val="clear" w:color="auto" w:fill="006272"/>
            <w:vAlign w:val="center"/>
          </w:tcPr>
          <w:p w14:paraId="20494631" w14:textId="631E01CB" w:rsidR="005B115B" w:rsidRDefault="7E1C2007" w:rsidP="7E1C2007">
            <w:pPr>
              <w:pStyle w:val="Questionnumber"/>
              <w:ind w:left="442" w:hanging="357"/>
            </w:pPr>
            <w:r>
              <w:t>20</w:t>
            </w:r>
          </w:p>
        </w:tc>
        <w:tc>
          <w:tcPr>
            <w:tcW w:w="8502" w:type="dxa"/>
            <w:shd w:val="clear" w:color="auto" w:fill="auto"/>
            <w:vAlign w:val="center"/>
          </w:tcPr>
          <w:p w14:paraId="052CD0B3" w14:textId="21D94FAD" w:rsidR="005B115B" w:rsidRDefault="7E1C2007" w:rsidP="3DCD9B46">
            <w:pPr>
              <w:pStyle w:val="BodyText"/>
              <w:rPr>
                <w:b/>
                <w:bCs/>
                <w:color w:val="FFFFFF"/>
              </w:rPr>
            </w:pPr>
            <w:r>
              <w:t xml:space="preserve">As a lender, do you identify any barriers in the Act to the use of electronic methods of disclosure? If so, can you explain what </w:t>
            </w:r>
            <w:proofErr w:type="gramStart"/>
            <w:r>
              <w:t>are these barriers</w:t>
            </w:r>
            <w:proofErr w:type="gramEnd"/>
            <w:r>
              <w:t xml:space="preserve"> and how they impact your processes?</w:t>
            </w:r>
          </w:p>
        </w:tc>
      </w:tr>
      <w:tr w:rsidR="005B115B" w:rsidRPr="00AE6026" w14:paraId="1F5A76C5" w14:textId="77777777" w:rsidTr="0057631B">
        <w:trPr>
          <w:trHeight w:val="300"/>
        </w:trPr>
        <w:tc>
          <w:tcPr>
            <w:tcW w:w="567" w:type="dxa"/>
            <w:shd w:val="clear" w:color="auto" w:fill="006272"/>
            <w:vAlign w:val="center"/>
          </w:tcPr>
          <w:p w14:paraId="31E6C243" w14:textId="77777777" w:rsidR="005B115B" w:rsidRDefault="005B115B" w:rsidP="7E1C2007">
            <w:pPr>
              <w:pStyle w:val="BodyText"/>
              <w:jc w:val="center"/>
              <w:rPr>
                <w:b/>
                <w:bCs/>
                <w:color w:val="FFFFFF"/>
              </w:rPr>
            </w:pPr>
          </w:p>
        </w:tc>
        <w:tc>
          <w:tcPr>
            <w:tcW w:w="8502" w:type="dxa"/>
            <w:shd w:val="clear" w:color="auto" w:fill="auto"/>
            <w:vAlign w:val="center"/>
          </w:tcPr>
          <w:p w14:paraId="7CB74EE4" w14:textId="77777777" w:rsidR="005B115B" w:rsidRDefault="005B115B" w:rsidP="005B115B">
            <w:pPr>
              <w:pStyle w:val="BodyText"/>
              <w:rPr>
                <w:b/>
                <w:color w:val="FFFFFF"/>
              </w:rPr>
            </w:pPr>
          </w:p>
        </w:tc>
      </w:tr>
      <w:tr w:rsidR="005B115B" w:rsidRPr="00AE6026" w14:paraId="76C63FB3" w14:textId="77777777" w:rsidTr="0057631B">
        <w:trPr>
          <w:trHeight w:val="300"/>
        </w:trPr>
        <w:tc>
          <w:tcPr>
            <w:tcW w:w="567" w:type="dxa"/>
            <w:shd w:val="clear" w:color="auto" w:fill="006272"/>
            <w:vAlign w:val="center"/>
          </w:tcPr>
          <w:p w14:paraId="51E84EB7" w14:textId="6B1E0400" w:rsidR="005B115B" w:rsidRDefault="7E1C2007" w:rsidP="7E1C2007">
            <w:pPr>
              <w:pStyle w:val="Questionnumber"/>
              <w:ind w:left="442" w:hanging="357"/>
            </w:pPr>
            <w:r>
              <w:t>21</w:t>
            </w:r>
          </w:p>
        </w:tc>
        <w:tc>
          <w:tcPr>
            <w:tcW w:w="8502" w:type="dxa"/>
            <w:shd w:val="clear" w:color="auto" w:fill="auto"/>
            <w:vAlign w:val="center"/>
          </w:tcPr>
          <w:p w14:paraId="5820A0D0" w14:textId="11F84F95" w:rsidR="005B115B" w:rsidRDefault="7E1C2007" w:rsidP="7E1C2007">
            <w:pPr>
              <w:pStyle w:val="BodyText"/>
              <w:rPr>
                <w:rFonts w:eastAsia="Calibri" w:cs="Calibri"/>
              </w:rPr>
            </w:pPr>
            <w:r w:rsidRPr="7E1C2007">
              <w:rPr>
                <w:rFonts w:eastAsia="Calibri" w:cs="Calibri"/>
              </w:rPr>
              <w:t xml:space="preserve">As a lender, are there any practical difficulties with obtaining the borrower’s consent for electronic forms of disclosure (section 32(4)(b))? </w:t>
            </w:r>
          </w:p>
        </w:tc>
      </w:tr>
      <w:tr w:rsidR="005B115B" w:rsidRPr="00AE6026" w14:paraId="22CE45A8" w14:textId="77777777" w:rsidTr="0057631B">
        <w:trPr>
          <w:trHeight w:val="300"/>
        </w:trPr>
        <w:tc>
          <w:tcPr>
            <w:tcW w:w="567" w:type="dxa"/>
            <w:shd w:val="clear" w:color="auto" w:fill="006272"/>
            <w:vAlign w:val="center"/>
          </w:tcPr>
          <w:p w14:paraId="2E86A4B3" w14:textId="77777777" w:rsidR="005B115B" w:rsidRDefault="005B115B" w:rsidP="7E1C2007">
            <w:pPr>
              <w:pStyle w:val="BodyText"/>
              <w:jc w:val="center"/>
              <w:rPr>
                <w:b/>
                <w:bCs/>
                <w:color w:val="FFFFFF"/>
              </w:rPr>
            </w:pPr>
          </w:p>
        </w:tc>
        <w:tc>
          <w:tcPr>
            <w:tcW w:w="8502" w:type="dxa"/>
            <w:shd w:val="clear" w:color="auto" w:fill="auto"/>
            <w:vAlign w:val="center"/>
          </w:tcPr>
          <w:p w14:paraId="7E692570" w14:textId="77777777" w:rsidR="005B115B" w:rsidRDefault="005B115B" w:rsidP="005B115B">
            <w:pPr>
              <w:pStyle w:val="BodyText"/>
              <w:rPr>
                <w:b/>
                <w:color w:val="FFFFFF"/>
              </w:rPr>
            </w:pPr>
          </w:p>
        </w:tc>
      </w:tr>
      <w:tr w:rsidR="005B115B" w:rsidRPr="00AE6026" w14:paraId="1D096EBF" w14:textId="77777777" w:rsidTr="0057631B">
        <w:trPr>
          <w:trHeight w:val="300"/>
        </w:trPr>
        <w:tc>
          <w:tcPr>
            <w:tcW w:w="567" w:type="dxa"/>
            <w:shd w:val="clear" w:color="auto" w:fill="006272"/>
            <w:vAlign w:val="center"/>
          </w:tcPr>
          <w:p w14:paraId="48C27392" w14:textId="114A0BE4" w:rsidR="005B115B" w:rsidRPr="0099436D" w:rsidRDefault="7E1C2007" w:rsidP="7E1C2007">
            <w:pPr>
              <w:pStyle w:val="BodyText"/>
              <w:jc w:val="center"/>
              <w:rPr>
                <w:b/>
                <w:bCs/>
                <w:i w:val="0"/>
                <w:color w:val="FFFFFF"/>
              </w:rPr>
            </w:pPr>
            <w:r w:rsidRPr="7E1C2007">
              <w:rPr>
                <w:b/>
                <w:bCs/>
                <w:color w:val="FFFFFF" w:themeColor="background1"/>
              </w:rPr>
              <w:t xml:space="preserve"> </w:t>
            </w:r>
            <w:r w:rsidRPr="7E1C2007">
              <w:rPr>
                <w:b/>
                <w:bCs/>
                <w:i w:val="0"/>
                <w:color w:val="FFFFFF" w:themeColor="background1"/>
              </w:rPr>
              <w:t>22</w:t>
            </w:r>
          </w:p>
        </w:tc>
        <w:tc>
          <w:tcPr>
            <w:tcW w:w="8502" w:type="dxa"/>
            <w:shd w:val="clear" w:color="auto" w:fill="auto"/>
            <w:vAlign w:val="center"/>
          </w:tcPr>
          <w:p w14:paraId="66D88F97" w14:textId="52F3B9C1" w:rsidR="005B115B" w:rsidRDefault="7E1C2007" w:rsidP="3DCD9B46">
            <w:pPr>
              <w:pStyle w:val="BodyText"/>
              <w:rPr>
                <w:rFonts w:eastAsia="Calibri" w:cs="Calibri"/>
              </w:rPr>
            </w:pPr>
            <w:r w:rsidRPr="7E1C2007">
              <w:rPr>
                <w:rFonts w:eastAsia="Calibri" w:cs="Calibri"/>
              </w:rPr>
              <w:t>What would be the implications of removing the requirement to obtain borrower's consent for electronic communication and forms of disclosure (section 32(4)(b))?</w:t>
            </w:r>
          </w:p>
        </w:tc>
      </w:tr>
      <w:tr w:rsidR="005B115B" w:rsidRPr="00AE6026" w14:paraId="34F1D2EB" w14:textId="77777777" w:rsidTr="0057631B">
        <w:trPr>
          <w:trHeight w:val="300"/>
        </w:trPr>
        <w:tc>
          <w:tcPr>
            <w:tcW w:w="567" w:type="dxa"/>
            <w:shd w:val="clear" w:color="auto" w:fill="006272"/>
            <w:vAlign w:val="center"/>
          </w:tcPr>
          <w:p w14:paraId="0DEA5587" w14:textId="77777777" w:rsidR="005B115B" w:rsidRDefault="005B115B" w:rsidP="005B115B">
            <w:pPr>
              <w:pStyle w:val="BodyText"/>
              <w:rPr>
                <w:b/>
                <w:color w:val="FFFFFF"/>
              </w:rPr>
            </w:pPr>
          </w:p>
        </w:tc>
        <w:tc>
          <w:tcPr>
            <w:tcW w:w="8502" w:type="dxa"/>
            <w:shd w:val="clear" w:color="auto" w:fill="auto"/>
            <w:vAlign w:val="center"/>
          </w:tcPr>
          <w:p w14:paraId="71DFE219" w14:textId="77777777" w:rsidR="005B115B" w:rsidRDefault="005B115B" w:rsidP="005B115B">
            <w:pPr>
              <w:pStyle w:val="BodyText"/>
              <w:rPr>
                <w:b/>
                <w:color w:val="FFFFFF"/>
              </w:rPr>
            </w:pPr>
          </w:p>
        </w:tc>
      </w:tr>
      <w:tr w:rsidR="005B115B" w:rsidRPr="00AE6026" w14:paraId="425D507C" w14:textId="77777777" w:rsidTr="7E1C2007">
        <w:trPr>
          <w:trHeight w:val="300"/>
        </w:trPr>
        <w:tc>
          <w:tcPr>
            <w:tcW w:w="9069" w:type="dxa"/>
            <w:gridSpan w:val="2"/>
            <w:shd w:val="clear" w:color="auto" w:fill="006272"/>
            <w:vAlign w:val="center"/>
          </w:tcPr>
          <w:p w14:paraId="4CE683DB" w14:textId="5B262D7F" w:rsidR="005B115B" w:rsidRPr="003E38DB" w:rsidRDefault="005B115B" w:rsidP="003E38DB">
            <w:pPr>
              <w:pStyle w:val="BodyText"/>
              <w:numPr>
                <w:ilvl w:val="0"/>
                <w:numId w:val="12"/>
              </w:numPr>
              <w:jc w:val="center"/>
              <w:rPr>
                <w:b/>
                <w:i w:val="0"/>
                <w:iCs/>
                <w:color w:val="FFFFFF"/>
              </w:rPr>
            </w:pPr>
            <w:r w:rsidRPr="003E38DB">
              <w:rPr>
                <w:b/>
                <w:i w:val="0"/>
                <w:iCs/>
                <w:color w:val="FFFFFF"/>
              </w:rPr>
              <w:t>Options for penalties for incomplete disclosures by lenders</w:t>
            </w:r>
          </w:p>
        </w:tc>
      </w:tr>
      <w:tr w:rsidR="005B115B" w:rsidRPr="00AE6026" w14:paraId="146418BD" w14:textId="77777777" w:rsidTr="0057631B">
        <w:trPr>
          <w:trHeight w:val="300"/>
        </w:trPr>
        <w:tc>
          <w:tcPr>
            <w:tcW w:w="567" w:type="dxa"/>
            <w:shd w:val="clear" w:color="auto" w:fill="006272"/>
            <w:vAlign w:val="center"/>
          </w:tcPr>
          <w:p w14:paraId="2141C66D" w14:textId="61F7520F" w:rsidR="005B115B" w:rsidRDefault="7E1C2007" w:rsidP="7E1C2007">
            <w:pPr>
              <w:pStyle w:val="Questionnumber"/>
              <w:ind w:left="442" w:hanging="357"/>
            </w:pPr>
            <w:r>
              <w:t>23</w:t>
            </w:r>
          </w:p>
        </w:tc>
        <w:tc>
          <w:tcPr>
            <w:tcW w:w="8502" w:type="dxa"/>
            <w:shd w:val="clear" w:color="auto" w:fill="auto"/>
            <w:vAlign w:val="center"/>
          </w:tcPr>
          <w:p w14:paraId="20A5D188" w14:textId="7AA71659" w:rsidR="005B115B" w:rsidRDefault="005B115B" w:rsidP="005B115B">
            <w:pPr>
              <w:pStyle w:val="BodyText"/>
              <w:rPr>
                <w:b/>
                <w:color w:val="FFFFFF"/>
              </w:rPr>
            </w:pPr>
            <w:r>
              <w:t>Do sections 95A and 95B meet their objectives? Why/why not?</w:t>
            </w:r>
          </w:p>
        </w:tc>
      </w:tr>
      <w:tr w:rsidR="005B115B" w:rsidRPr="00AE6026" w14:paraId="66DA2088" w14:textId="77777777" w:rsidTr="0057631B">
        <w:trPr>
          <w:trHeight w:val="300"/>
        </w:trPr>
        <w:tc>
          <w:tcPr>
            <w:tcW w:w="567" w:type="dxa"/>
            <w:shd w:val="clear" w:color="auto" w:fill="006272"/>
            <w:vAlign w:val="center"/>
          </w:tcPr>
          <w:p w14:paraId="3E094702" w14:textId="77777777" w:rsidR="005B115B" w:rsidRDefault="005B115B" w:rsidP="7E1C2007">
            <w:pPr>
              <w:pStyle w:val="Questionnumber"/>
              <w:ind w:left="442" w:hanging="357"/>
            </w:pPr>
          </w:p>
        </w:tc>
        <w:tc>
          <w:tcPr>
            <w:tcW w:w="8502" w:type="dxa"/>
            <w:shd w:val="clear" w:color="auto" w:fill="auto"/>
            <w:vAlign w:val="center"/>
          </w:tcPr>
          <w:p w14:paraId="04F5DADE" w14:textId="77777777" w:rsidR="005B115B" w:rsidRDefault="005B115B" w:rsidP="005B115B">
            <w:pPr>
              <w:pStyle w:val="BodyText"/>
              <w:rPr>
                <w:b/>
                <w:color w:val="FFFFFF"/>
              </w:rPr>
            </w:pPr>
          </w:p>
        </w:tc>
      </w:tr>
      <w:tr w:rsidR="005B115B" w:rsidRPr="00AE6026" w14:paraId="32F12EED" w14:textId="77777777" w:rsidTr="0057631B">
        <w:trPr>
          <w:trHeight w:val="300"/>
        </w:trPr>
        <w:tc>
          <w:tcPr>
            <w:tcW w:w="567" w:type="dxa"/>
            <w:shd w:val="clear" w:color="auto" w:fill="006272"/>
            <w:vAlign w:val="center"/>
          </w:tcPr>
          <w:p w14:paraId="7D77CB56" w14:textId="79225DC8" w:rsidR="005B115B" w:rsidRDefault="7E1C2007" w:rsidP="7E1C2007">
            <w:pPr>
              <w:pStyle w:val="Questionnumber"/>
              <w:ind w:left="442" w:hanging="357"/>
            </w:pPr>
            <w:r>
              <w:t>24</w:t>
            </w:r>
          </w:p>
        </w:tc>
        <w:tc>
          <w:tcPr>
            <w:tcW w:w="8502" w:type="dxa"/>
            <w:shd w:val="clear" w:color="auto" w:fill="auto"/>
            <w:vAlign w:val="center"/>
          </w:tcPr>
          <w:p w14:paraId="77C09A6D" w14:textId="3004218A" w:rsidR="005B115B" w:rsidRDefault="7E1C2007" w:rsidP="3DCD9B46">
            <w:pPr>
              <w:pStyle w:val="BodyText"/>
            </w:pPr>
            <w:r>
              <w:t xml:space="preserve">As a lender, to what extent does section 99(1A) impact the time, effort, and costs you dedicate to initial and variation disclosures? </w:t>
            </w:r>
          </w:p>
        </w:tc>
      </w:tr>
      <w:tr w:rsidR="005B115B" w:rsidRPr="00AE6026" w14:paraId="4641312D" w14:textId="77777777" w:rsidTr="0057631B">
        <w:trPr>
          <w:trHeight w:val="300"/>
        </w:trPr>
        <w:tc>
          <w:tcPr>
            <w:tcW w:w="567" w:type="dxa"/>
            <w:shd w:val="clear" w:color="auto" w:fill="006272"/>
            <w:vAlign w:val="center"/>
          </w:tcPr>
          <w:p w14:paraId="69A20027" w14:textId="77777777" w:rsidR="005B115B" w:rsidRDefault="005B115B" w:rsidP="7E1C2007">
            <w:pPr>
              <w:pStyle w:val="Questionnumber"/>
              <w:ind w:left="442" w:hanging="357"/>
            </w:pPr>
          </w:p>
        </w:tc>
        <w:tc>
          <w:tcPr>
            <w:tcW w:w="8502" w:type="dxa"/>
            <w:shd w:val="clear" w:color="auto" w:fill="auto"/>
            <w:vAlign w:val="center"/>
          </w:tcPr>
          <w:p w14:paraId="06ECD201" w14:textId="77777777" w:rsidR="005B115B" w:rsidRDefault="005B115B" w:rsidP="005B115B">
            <w:pPr>
              <w:pStyle w:val="BodyText"/>
              <w:rPr>
                <w:b/>
                <w:color w:val="FFFFFF"/>
              </w:rPr>
            </w:pPr>
          </w:p>
        </w:tc>
      </w:tr>
      <w:tr w:rsidR="00C775E7" w:rsidRPr="00AE6026" w14:paraId="15E092E5" w14:textId="77777777" w:rsidTr="0057631B">
        <w:trPr>
          <w:trHeight w:val="300"/>
        </w:trPr>
        <w:tc>
          <w:tcPr>
            <w:tcW w:w="567" w:type="dxa"/>
            <w:shd w:val="clear" w:color="auto" w:fill="006272"/>
            <w:vAlign w:val="center"/>
          </w:tcPr>
          <w:p w14:paraId="7B5437A5" w14:textId="090356F9" w:rsidR="00C775E7" w:rsidRPr="0099436D" w:rsidRDefault="7E1C2007" w:rsidP="7E1C2007">
            <w:pPr>
              <w:pStyle w:val="Questionnumber"/>
              <w:ind w:left="442" w:hanging="357"/>
            </w:pPr>
            <w:r>
              <w:t>25</w:t>
            </w:r>
          </w:p>
        </w:tc>
        <w:tc>
          <w:tcPr>
            <w:tcW w:w="8502" w:type="dxa"/>
            <w:shd w:val="clear" w:color="auto" w:fill="auto"/>
          </w:tcPr>
          <w:p w14:paraId="535242FC" w14:textId="2CCF665D" w:rsidR="00C775E7" w:rsidRDefault="00C775E7" w:rsidP="00C775E7">
            <w:pPr>
              <w:pStyle w:val="BodyText"/>
              <w:rPr>
                <w:b/>
                <w:color w:val="FFFFFF"/>
              </w:rPr>
            </w:pPr>
            <w:r>
              <w:t xml:space="preserve">Under option E1, what should a materiality test look like? </w:t>
            </w:r>
          </w:p>
        </w:tc>
      </w:tr>
      <w:tr w:rsidR="00C775E7" w:rsidRPr="00AE6026" w14:paraId="400970AA" w14:textId="77777777" w:rsidTr="0057631B">
        <w:trPr>
          <w:trHeight w:val="300"/>
        </w:trPr>
        <w:tc>
          <w:tcPr>
            <w:tcW w:w="567" w:type="dxa"/>
            <w:shd w:val="clear" w:color="auto" w:fill="006272"/>
            <w:vAlign w:val="center"/>
          </w:tcPr>
          <w:p w14:paraId="5A3ADC15" w14:textId="77777777" w:rsidR="00C775E7" w:rsidRDefault="00C775E7" w:rsidP="00C775E7">
            <w:pPr>
              <w:pStyle w:val="BodyText"/>
              <w:rPr>
                <w:b/>
                <w:color w:val="FFFFFF"/>
              </w:rPr>
            </w:pPr>
          </w:p>
        </w:tc>
        <w:tc>
          <w:tcPr>
            <w:tcW w:w="8502" w:type="dxa"/>
            <w:shd w:val="clear" w:color="auto" w:fill="auto"/>
            <w:vAlign w:val="center"/>
          </w:tcPr>
          <w:p w14:paraId="1F19E8EC" w14:textId="77777777" w:rsidR="00C775E7" w:rsidRDefault="00C775E7" w:rsidP="00C775E7">
            <w:pPr>
              <w:pStyle w:val="BodyText"/>
              <w:rPr>
                <w:b/>
                <w:color w:val="FFFFFF"/>
              </w:rPr>
            </w:pPr>
          </w:p>
        </w:tc>
      </w:tr>
      <w:tr w:rsidR="00C775E7" w:rsidRPr="00AE6026" w14:paraId="13BDC9A0" w14:textId="77777777" w:rsidTr="0057631B">
        <w:trPr>
          <w:trHeight w:val="300"/>
        </w:trPr>
        <w:tc>
          <w:tcPr>
            <w:tcW w:w="567" w:type="dxa"/>
            <w:shd w:val="clear" w:color="auto" w:fill="006272"/>
            <w:vAlign w:val="center"/>
          </w:tcPr>
          <w:p w14:paraId="10790685" w14:textId="654E825C" w:rsidR="00C775E7" w:rsidRPr="0099436D" w:rsidRDefault="7E1C2007" w:rsidP="7E1C2007">
            <w:pPr>
              <w:pStyle w:val="BodyText"/>
              <w:jc w:val="center"/>
              <w:rPr>
                <w:b/>
                <w:bCs/>
                <w:i w:val="0"/>
                <w:color w:val="FFFFFF"/>
              </w:rPr>
            </w:pPr>
            <w:r w:rsidRPr="7E1C2007">
              <w:rPr>
                <w:b/>
                <w:bCs/>
                <w:i w:val="0"/>
                <w:color w:val="FFFFFF" w:themeColor="background1"/>
              </w:rPr>
              <w:t>26</w:t>
            </w:r>
          </w:p>
        </w:tc>
        <w:tc>
          <w:tcPr>
            <w:tcW w:w="8502" w:type="dxa"/>
            <w:shd w:val="clear" w:color="auto" w:fill="auto"/>
            <w:vAlign w:val="center"/>
          </w:tcPr>
          <w:p w14:paraId="0DFBE646" w14:textId="39D6A415" w:rsidR="00C775E7" w:rsidRDefault="7E1C2007" w:rsidP="3DCD9B46">
            <w:pPr>
              <w:pStyle w:val="BodyText"/>
              <w:rPr>
                <w:b/>
                <w:bCs/>
                <w:color w:val="FFFFFF"/>
              </w:rPr>
            </w:pPr>
            <w:r>
              <w:t>Under option E1, which party should have the burden of proof and what would this mean for the effectiveness of the option? If the onus is on borrowers to show materiality would that deter them from seeking redress under section 99(1A)?</w:t>
            </w:r>
          </w:p>
        </w:tc>
      </w:tr>
      <w:tr w:rsidR="00C775E7" w:rsidRPr="00AE6026" w14:paraId="06E00321" w14:textId="77777777" w:rsidTr="0057631B">
        <w:trPr>
          <w:trHeight w:val="300"/>
        </w:trPr>
        <w:tc>
          <w:tcPr>
            <w:tcW w:w="567" w:type="dxa"/>
            <w:shd w:val="clear" w:color="auto" w:fill="006272"/>
            <w:vAlign w:val="center"/>
          </w:tcPr>
          <w:p w14:paraId="72ECA975" w14:textId="77777777" w:rsidR="00C775E7" w:rsidRDefault="00C775E7" w:rsidP="00C775E7">
            <w:pPr>
              <w:pStyle w:val="BodyText"/>
              <w:rPr>
                <w:b/>
                <w:color w:val="FFFFFF"/>
              </w:rPr>
            </w:pPr>
          </w:p>
        </w:tc>
        <w:tc>
          <w:tcPr>
            <w:tcW w:w="8502" w:type="dxa"/>
            <w:shd w:val="clear" w:color="auto" w:fill="auto"/>
            <w:vAlign w:val="center"/>
          </w:tcPr>
          <w:p w14:paraId="7C2DDF64" w14:textId="77777777" w:rsidR="00C775E7" w:rsidRDefault="00C775E7" w:rsidP="00C775E7">
            <w:pPr>
              <w:pStyle w:val="BodyText"/>
              <w:rPr>
                <w:b/>
                <w:color w:val="FFFFFF"/>
              </w:rPr>
            </w:pPr>
          </w:p>
        </w:tc>
      </w:tr>
      <w:tr w:rsidR="00C775E7" w:rsidRPr="00AE6026" w14:paraId="15243FC5" w14:textId="77777777" w:rsidTr="0057631B">
        <w:trPr>
          <w:trHeight w:val="300"/>
        </w:trPr>
        <w:tc>
          <w:tcPr>
            <w:tcW w:w="567" w:type="dxa"/>
            <w:shd w:val="clear" w:color="auto" w:fill="006272"/>
            <w:vAlign w:val="center"/>
          </w:tcPr>
          <w:p w14:paraId="29928C84" w14:textId="240F139A" w:rsidR="00C775E7" w:rsidRPr="0043538F" w:rsidRDefault="7E1C2007" w:rsidP="7E1C2007">
            <w:pPr>
              <w:pStyle w:val="Questionnumber"/>
              <w:ind w:left="442" w:hanging="357"/>
            </w:pPr>
            <w:r>
              <w:t>27</w:t>
            </w:r>
          </w:p>
        </w:tc>
        <w:tc>
          <w:tcPr>
            <w:tcW w:w="8502" w:type="dxa"/>
            <w:shd w:val="clear" w:color="auto" w:fill="auto"/>
          </w:tcPr>
          <w:p w14:paraId="76256F1A" w14:textId="2A6A7135" w:rsidR="00C775E7" w:rsidRDefault="00C775E7" w:rsidP="00C775E7">
            <w:pPr>
              <w:pStyle w:val="BodyText"/>
              <w:rPr>
                <w:b/>
                <w:color w:val="FFFFFF"/>
              </w:rPr>
            </w:pPr>
            <w:r>
              <w:t>Under option E2, how should the maximum amount the lender forfeits be calculated?</w:t>
            </w:r>
          </w:p>
        </w:tc>
      </w:tr>
      <w:tr w:rsidR="00C775E7" w:rsidRPr="00AE6026" w14:paraId="03221B65" w14:textId="77777777" w:rsidTr="0057631B">
        <w:trPr>
          <w:trHeight w:val="300"/>
        </w:trPr>
        <w:tc>
          <w:tcPr>
            <w:tcW w:w="567" w:type="dxa"/>
            <w:shd w:val="clear" w:color="auto" w:fill="006272"/>
            <w:vAlign w:val="center"/>
          </w:tcPr>
          <w:p w14:paraId="680DBF51" w14:textId="77777777" w:rsidR="00C775E7" w:rsidRDefault="00C775E7" w:rsidP="7E1C2007">
            <w:pPr>
              <w:pStyle w:val="Questionnumber"/>
              <w:ind w:left="442" w:hanging="357"/>
            </w:pPr>
          </w:p>
        </w:tc>
        <w:tc>
          <w:tcPr>
            <w:tcW w:w="8502" w:type="dxa"/>
            <w:shd w:val="clear" w:color="auto" w:fill="auto"/>
            <w:vAlign w:val="center"/>
          </w:tcPr>
          <w:p w14:paraId="7271644F" w14:textId="77777777" w:rsidR="00C775E7" w:rsidRPr="00750704" w:rsidRDefault="00C775E7" w:rsidP="00C775E7">
            <w:pPr>
              <w:pStyle w:val="BodyText"/>
              <w:rPr>
                <w:rFonts w:eastAsia="Calibri" w:cs="Calibri"/>
                <w:color w:val="000000" w:themeColor="text1"/>
              </w:rPr>
            </w:pPr>
          </w:p>
        </w:tc>
      </w:tr>
      <w:tr w:rsidR="00C775E7" w:rsidRPr="00AE6026" w14:paraId="5DF6BB3C" w14:textId="77777777" w:rsidTr="0057631B">
        <w:trPr>
          <w:trHeight w:val="300"/>
        </w:trPr>
        <w:tc>
          <w:tcPr>
            <w:tcW w:w="567" w:type="dxa"/>
            <w:shd w:val="clear" w:color="auto" w:fill="006272"/>
            <w:vAlign w:val="center"/>
          </w:tcPr>
          <w:p w14:paraId="68AFD646" w14:textId="2F948D32" w:rsidR="00C775E7" w:rsidRDefault="7E1C2007" w:rsidP="7E1C2007">
            <w:pPr>
              <w:pStyle w:val="Questionnumber"/>
              <w:ind w:left="442" w:hanging="357"/>
            </w:pPr>
            <w:r>
              <w:t>28</w:t>
            </w:r>
          </w:p>
        </w:tc>
        <w:tc>
          <w:tcPr>
            <w:tcW w:w="8502" w:type="dxa"/>
            <w:shd w:val="clear" w:color="auto" w:fill="auto"/>
            <w:vAlign w:val="center"/>
          </w:tcPr>
          <w:p w14:paraId="4E278A70" w14:textId="7A6A8733" w:rsidR="00C775E7" w:rsidRDefault="00C775E7" w:rsidP="00C775E7">
            <w:pPr>
              <w:pStyle w:val="BodyText"/>
              <w:rPr>
                <w:b/>
                <w:color w:val="FFFFFF"/>
              </w:rPr>
            </w:pPr>
            <w:r>
              <w:t>Under option E3, would there be the right incentives in place to ensure lenders comply with their disclosure obligations?</w:t>
            </w:r>
          </w:p>
        </w:tc>
      </w:tr>
      <w:tr w:rsidR="00C775E7" w:rsidRPr="00AE6026" w14:paraId="710896C9" w14:textId="77777777" w:rsidTr="0057631B">
        <w:trPr>
          <w:trHeight w:val="300"/>
        </w:trPr>
        <w:tc>
          <w:tcPr>
            <w:tcW w:w="567" w:type="dxa"/>
            <w:shd w:val="clear" w:color="auto" w:fill="006272"/>
            <w:vAlign w:val="center"/>
          </w:tcPr>
          <w:p w14:paraId="231D39F2" w14:textId="77777777" w:rsidR="00C775E7" w:rsidRDefault="00C775E7" w:rsidP="7E1C2007">
            <w:pPr>
              <w:pStyle w:val="Questionnumber"/>
              <w:ind w:left="442" w:hanging="357"/>
            </w:pPr>
          </w:p>
        </w:tc>
        <w:tc>
          <w:tcPr>
            <w:tcW w:w="8502" w:type="dxa"/>
            <w:shd w:val="clear" w:color="auto" w:fill="auto"/>
            <w:vAlign w:val="center"/>
          </w:tcPr>
          <w:p w14:paraId="3344CA10" w14:textId="77777777" w:rsidR="00C775E7" w:rsidRPr="7C186798" w:rsidRDefault="00C775E7" w:rsidP="00C775E7">
            <w:pPr>
              <w:pStyle w:val="BodyText"/>
              <w:rPr>
                <w:rFonts w:eastAsia="Calibri" w:cs="Calibri"/>
              </w:rPr>
            </w:pPr>
          </w:p>
        </w:tc>
      </w:tr>
      <w:tr w:rsidR="00C775E7" w:rsidRPr="00AE6026" w14:paraId="2B1C39E2" w14:textId="77777777" w:rsidTr="0057631B">
        <w:trPr>
          <w:trHeight w:val="300"/>
        </w:trPr>
        <w:tc>
          <w:tcPr>
            <w:tcW w:w="567" w:type="dxa"/>
            <w:shd w:val="clear" w:color="auto" w:fill="006272"/>
            <w:vAlign w:val="center"/>
          </w:tcPr>
          <w:p w14:paraId="32AF4E13" w14:textId="3A2F2E76" w:rsidR="00C775E7" w:rsidRDefault="7E1C2007" w:rsidP="7E1C2007">
            <w:pPr>
              <w:pStyle w:val="Questionnumber"/>
              <w:ind w:left="442" w:hanging="357"/>
            </w:pPr>
            <w:r>
              <w:t>29</w:t>
            </w:r>
          </w:p>
        </w:tc>
        <w:tc>
          <w:tcPr>
            <w:tcW w:w="8502" w:type="dxa"/>
            <w:shd w:val="clear" w:color="auto" w:fill="auto"/>
            <w:vAlign w:val="center"/>
          </w:tcPr>
          <w:p w14:paraId="0A52F20B" w14:textId="7049FE1A" w:rsidR="00C775E7" w:rsidRPr="7C186798" w:rsidRDefault="7E1C2007" w:rsidP="00C775E7">
            <w:pPr>
              <w:pStyle w:val="BodyText"/>
              <w:rPr>
                <w:rFonts w:eastAsia="Calibri" w:cs="Calibri"/>
              </w:rPr>
            </w:pPr>
            <w:r>
              <w:t>What would be the risks associated with each option? How could they be mitigated?</w:t>
            </w:r>
          </w:p>
        </w:tc>
      </w:tr>
      <w:tr w:rsidR="00C775E7" w:rsidRPr="00AE6026" w14:paraId="6503FB15" w14:textId="77777777" w:rsidTr="0057631B">
        <w:trPr>
          <w:trHeight w:val="300"/>
        </w:trPr>
        <w:tc>
          <w:tcPr>
            <w:tcW w:w="567" w:type="dxa"/>
            <w:shd w:val="clear" w:color="auto" w:fill="006272"/>
            <w:vAlign w:val="center"/>
          </w:tcPr>
          <w:p w14:paraId="74E55B2E" w14:textId="77777777" w:rsidR="00C775E7" w:rsidRDefault="00C775E7" w:rsidP="00C775E7">
            <w:pPr>
              <w:pStyle w:val="Questionnumber"/>
              <w:ind w:left="442" w:hanging="357"/>
              <w:jc w:val="left"/>
            </w:pPr>
          </w:p>
        </w:tc>
        <w:tc>
          <w:tcPr>
            <w:tcW w:w="8502" w:type="dxa"/>
            <w:shd w:val="clear" w:color="auto" w:fill="auto"/>
            <w:vAlign w:val="center"/>
          </w:tcPr>
          <w:p w14:paraId="1DE7E9E0" w14:textId="77777777" w:rsidR="00C775E7" w:rsidRPr="7C186798" w:rsidRDefault="00C775E7" w:rsidP="00C775E7">
            <w:pPr>
              <w:pStyle w:val="BodyText"/>
              <w:rPr>
                <w:rFonts w:eastAsia="Calibri" w:cs="Calibri"/>
              </w:rPr>
            </w:pPr>
          </w:p>
        </w:tc>
      </w:tr>
      <w:tr w:rsidR="00C775E7" w:rsidRPr="0043538F" w14:paraId="57E0B7E4" w14:textId="77777777" w:rsidTr="7E1C2007">
        <w:trPr>
          <w:trHeight w:val="300"/>
        </w:trPr>
        <w:tc>
          <w:tcPr>
            <w:tcW w:w="9069" w:type="dxa"/>
            <w:gridSpan w:val="2"/>
            <w:shd w:val="clear" w:color="auto" w:fill="006272"/>
            <w:vAlign w:val="center"/>
          </w:tcPr>
          <w:p w14:paraId="0EB1D90E" w14:textId="30020C50" w:rsidR="00C775E7" w:rsidRPr="003E38DB" w:rsidRDefault="00C775E7" w:rsidP="003E38DB">
            <w:pPr>
              <w:pStyle w:val="BodyText"/>
              <w:numPr>
                <w:ilvl w:val="3"/>
                <w:numId w:val="1"/>
              </w:numPr>
              <w:jc w:val="center"/>
              <w:rPr>
                <w:rFonts w:eastAsia="Calibri" w:cs="Calibri"/>
                <w:b/>
                <w:bCs/>
                <w:i w:val="0"/>
                <w:iCs/>
                <w:color w:val="FFFFFF" w:themeColor="background1"/>
              </w:rPr>
            </w:pPr>
            <w:bookmarkStart w:id="2" w:name="_Hlk164263439"/>
            <w:r w:rsidRPr="003E38DB">
              <w:rPr>
                <w:b/>
                <w:bCs/>
                <w:i w:val="0"/>
                <w:iCs/>
                <w:color w:val="FFFFFF" w:themeColor="background1"/>
              </w:rPr>
              <w:t>Review of the high-cost credit provisions</w:t>
            </w:r>
          </w:p>
        </w:tc>
      </w:tr>
      <w:tr w:rsidR="00C775E7" w14:paraId="4C4E3FD6" w14:textId="77777777" w:rsidTr="0057631B">
        <w:trPr>
          <w:trHeight w:val="300"/>
        </w:trPr>
        <w:tc>
          <w:tcPr>
            <w:tcW w:w="567" w:type="dxa"/>
            <w:shd w:val="clear" w:color="auto" w:fill="006272"/>
            <w:vAlign w:val="center"/>
          </w:tcPr>
          <w:p w14:paraId="62FB7C72" w14:textId="6D779859" w:rsidR="00C775E7" w:rsidRDefault="7E1C2007" w:rsidP="7E1C2007">
            <w:pPr>
              <w:pStyle w:val="Questionnumber"/>
              <w:ind w:left="442" w:hanging="357"/>
            </w:pPr>
            <w:r>
              <w:t>30</w:t>
            </w:r>
          </w:p>
        </w:tc>
        <w:tc>
          <w:tcPr>
            <w:tcW w:w="8502" w:type="dxa"/>
            <w:shd w:val="clear" w:color="auto" w:fill="auto"/>
            <w:vAlign w:val="center"/>
          </w:tcPr>
          <w:p w14:paraId="64E1FA5A" w14:textId="36692FB3" w:rsidR="00C775E7" w:rsidRDefault="00C775E7" w:rsidP="00C775E7">
            <w:pPr>
              <w:pStyle w:val="BodyText"/>
              <w:rPr>
                <w:b/>
                <w:color w:val="FFFFFF"/>
              </w:rPr>
            </w:pPr>
            <w:r w:rsidRPr="6C6FE5EA">
              <w:rPr>
                <w:rFonts w:eastAsia="Calibri" w:cs="Calibri"/>
                <w:color w:val="000000" w:themeColor="text1"/>
              </w:rPr>
              <w:t>What specific provisions (high-cost or other) have most impacted lenders’ willingness or ability to offer high-cost consumer credit?</w:t>
            </w:r>
          </w:p>
        </w:tc>
      </w:tr>
      <w:bookmarkEnd w:id="2"/>
      <w:tr w:rsidR="00C775E7" w:rsidRPr="00AE6026" w14:paraId="2AA6696F" w14:textId="77777777" w:rsidTr="0057631B">
        <w:trPr>
          <w:trHeight w:val="300"/>
        </w:trPr>
        <w:tc>
          <w:tcPr>
            <w:tcW w:w="567" w:type="dxa"/>
            <w:shd w:val="clear" w:color="auto" w:fill="006272"/>
            <w:vAlign w:val="center"/>
          </w:tcPr>
          <w:p w14:paraId="42E04FD5" w14:textId="77777777" w:rsidR="00C775E7" w:rsidRDefault="00C775E7" w:rsidP="7E1C2007">
            <w:pPr>
              <w:pStyle w:val="Questionnumber"/>
              <w:ind w:left="442" w:hanging="357"/>
            </w:pPr>
          </w:p>
        </w:tc>
        <w:tc>
          <w:tcPr>
            <w:tcW w:w="8502" w:type="dxa"/>
            <w:shd w:val="clear" w:color="auto" w:fill="auto"/>
            <w:vAlign w:val="center"/>
          </w:tcPr>
          <w:p w14:paraId="32636856" w14:textId="77777777" w:rsidR="00C775E7" w:rsidRDefault="00C775E7" w:rsidP="00C775E7">
            <w:pPr>
              <w:pStyle w:val="BodyText"/>
            </w:pPr>
          </w:p>
        </w:tc>
      </w:tr>
      <w:tr w:rsidR="00C775E7" w:rsidRPr="00AE6026" w14:paraId="582952C9" w14:textId="77777777" w:rsidTr="0057631B">
        <w:trPr>
          <w:trHeight w:val="300"/>
        </w:trPr>
        <w:tc>
          <w:tcPr>
            <w:tcW w:w="567" w:type="dxa"/>
            <w:shd w:val="clear" w:color="auto" w:fill="006272"/>
            <w:vAlign w:val="center"/>
          </w:tcPr>
          <w:p w14:paraId="31034EF0" w14:textId="561DF324" w:rsidR="00C775E7" w:rsidRDefault="7E1C2007" w:rsidP="7E1C2007">
            <w:pPr>
              <w:pStyle w:val="Questionnumber"/>
              <w:ind w:left="442" w:hanging="357"/>
            </w:pPr>
            <w:r>
              <w:t>31</w:t>
            </w:r>
          </w:p>
        </w:tc>
        <w:tc>
          <w:tcPr>
            <w:tcW w:w="8502" w:type="dxa"/>
            <w:shd w:val="clear" w:color="auto" w:fill="auto"/>
            <w:vAlign w:val="center"/>
          </w:tcPr>
          <w:p w14:paraId="66F8217B" w14:textId="0B16E5C8" w:rsidR="00C775E7" w:rsidRDefault="7E1C2007" w:rsidP="3DCD9B46">
            <w:pPr>
              <w:pStyle w:val="BodyText"/>
              <w:rPr>
                <w:rFonts w:eastAsia="Calibri" w:cs="Calibri"/>
                <w:color w:val="000000" w:themeColor="text1"/>
              </w:rPr>
            </w:pPr>
            <w:r w:rsidRPr="7E1C2007">
              <w:rPr>
                <w:rFonts w:eastAsia="Calibri" w:cs="Calibri"/>
                <w:color w:val="000000" w:themeColor="text1"/>
              </w:rPr>
              <w:t xml:space="preserve">In the absence of high-cost loans, what other avenues are borrowers turning to? </w:t>
            </w:r>
          </w:p>
        </w:tc>
      </w:tr>
      <w:tr w:rsidR="00C775E7" w:rsidRPr="00AE6026" w14:paraId="0E170EA2" w14:textId="77777777" w:rsidTr="0057631B">
        <w:trPr>
          <w:trHeight w:val="300"/>
        </w:trPr>
        <w:tc>
          <w:tcPr>
            <w:tcW w:w="567" w:type="dxa"/>
            <w:shd w:val="clear" w:color="auto" w:fill="006272"/>
            <w:vAlign w:val="center"/>
          </w:tcPr>
          <w:p w14:paraId="0BA6653E" w14:textId="77777777" w:rsidR="00C775E7" w:rsidRDefault="00C775E7" w:rsidP="7E1C2007">
            <w:pPr>
              <w:pStyle w:val="Questionnumber"/>
              <w:ind w:left="442" w:hanging="357"/>
            </w:pPr>
          </w:p>
        </w:tc>
        <w:tc>
          <w:tcPr>
            <w:tcW w:w="8502" w:type="dxa"/>
            <w:shd w:val="clear" w:color="auto" w:fill="auto"/>
            <w:vAlign w:val="center"/>
          </w:tcPr>
          <w:p w14:paraId="0986A93C" w14:textId="77777777" w:rsidR="00C775E7" w:rsidRPr="1A0A3509" w:rsidRDefault="00C775E7" w:rsidP="00C775E7">
            <w:pPr>
              <w:pStyle w:val="BodyText"/>
              <w:rPr>
                <w:rFonts w:eastAsia="Calibri" w:cs="Calibri"/>
                <w:color w:val="000000" w:themeColor="text1"/>
              </w:rPr>
            </w:pPr>
          </w:p>
        </w:tc>
      </w:tr>
      <w:tr w:rsidR="00C775E7" w:rsidRPr="00AE6026" w14:paraId="79516648" w14:textId="77777777" w:rsidTr="0057631B">
        <w:trPr>
          <w:trHeight w:val="300"/>
        </w:trPr>
        <w:tc>
          <w:tcPr>
            <w:tcW w:w="567" w:type="dxa"/>
            <w:shd w:val="clear" w:color="auto" w:fill="006272"/>
            <w:vAlign w:val="center"/>
          </w:tcPr>
          <w:p w14:paraId="25991A4B" w14:textId="1EAF0F4E" w:rsidR="00C775E7" w:rsidRDefault="7E1C2007" w:rsidP="7E1C2007">
            <w:pPr>
              <w:pStyle w:val="Questionnumber"/>
              <w:ind w:left="442" w:hanging="357"/>
            </w:pPr>
            <w:r>
              <w:t>32</w:t>
            </w:r>
          </w:p>
        </w:tc>
        <w:tc>
          <w:tcPr>
            <w:tcW w:w="8502" w:type="dxa"/>
            <w:shd w:val="clear" w:color="auto" w:fill="auto"/>
            <w:vAlign w:val="center"/>
          </w:tcPr>
          <w:p w14:paraId="7D9286FC" w14:textId="198B4337" w:rsidR="00C775E7" w:rsidRPr="1A0A3509" w:rsidRDefault="7E1C2007" w:rsidP="00C775E7">
            <w:pPr>
              <w:pStyle w:val="BodyText"/>
              <w:rPr>
                <w:rFonts w:eastAsia="Calibri" w:cs="Calibri"/>
                <w:color w:val="000000" w:themeColor="text1"/>
              </w:rPr>
            </w:pPr>
            <w:r w:rsidRPr="7E1C2007">
              <w:rPr>
                <w:rFonts w:eastAsia="Calibri" w:cs="Calibri"/>
                <w:color w:val="000000" w:themeColor="text1"/>
              </w:rPr>
              <w:t xml:space="preserve">Is the unavailability of high-cost consumer credit having positive or negative effects on would-be borrowers? </w:t>
            </w:r>
          </w:p>
        </w:tc>
      </w:tr>
      <w:tr w:rsidR="00C775E7" w:rsidRPr="00AE6026" w14:paraId="7AD638FA" w14:textId="77777777" w:rsidTr="0057631B">
        <w:trPr>
          <w:trHeight w:val="300"/>
        </w:trPr>
        <w:tc>
          <w:tcPr>
            <w:tcW w:w="567" w:type="dxa"/>
            <w:shd w:val="clear" w:color="auto" w:fill="006272"/>
            <w:vAlign w:val="center"/>
          </w:tcPr>
          <w:p w14:paraId="42CDD85C" w14:textId="77777777" w:rsidR="00C775E7" w:rsidRDefault="00C775E7" w:rsidP="7E1C2007">
            <w:pPr>
              <w:pStyle w:val="Questionnumber"/>
              <w:ind w:left="442" w:hanging="357"/>
            </w:pPr>
          </w:p>
        </w:tc>
        <w:tc>
          <w:tcPr>
            <w:tcW w:w="8502" w:type="dxa"/>
            <w:shd w:val="clear" w:color="auto" w:fill="auto"/>
            <w:vAlign w:val="center"/>
          </w:tcPr>
          <w:p w14:paraId="6DF2132B" w14:textId="77777777" w:rsidR="00C775E7" w:rsidRPr="1A0A3509" w:rsidRDefault="00C775E7" w:rsidP="00C775E7">
            <w:pPr>
              <w:pStyle w:val="BodyText"/>
              <w:rPr>
                <w:rFonts w:eastAsia="Calibri" w:cs="Calibri"/>
                <w:color w:val="000000" w:themeColor="text1"/>
              </w:rPr>
            </w:pPr>
          </w:p>
        </w:tc>
      </w:tr>
      <w:tr w:rsidR="00AB248E" w:rsidRPr="00AE6026" w14:paraId="0153C44A" w14:textId="77777777" w:rsidTr="0057631B">
        <w:trPr>
          <w:trHeight w:val="300"/>
        </w:trPr>
        <w:tc>
          <w:tcPr>
            <w:tcW w:w="567" w:type="dxa"/>
            <w:shd w:val="clear" w:color="auto" w:fill="006272"/>
            <w:vAlign w:val="center"/>
          </w:tcPr>
          <w:p w14:paraId="0BC2C3A4" w14:textId="0F01F476" w:rsidR="00AB248E" w:rsidRDefault="7E1C2007" w:rsidP="7E1C2007">
            <w:pPr>
              <w:pStyle w:val="Questionnumber"/>
              <w:ind w:left="442" w:hanging="357"/>
            </w:pPr>
            <w:r>
              <w:t>33</w:t>
            </w:r>
          </w:p>
        </w:tc>
        <w:tc>
          <w:tcPr>
            <w:tcW w:w="8502" w:type="dxa"/>
            <w:tcBorders>
              <w:top w:val="single" w:sz="4" w:space="0" w:color="4472C4" w:themeColor="accent1"/>
            </w:tcBorders>
            <w:shd w:val="clear" w:color="auto" w:fill="auto"/>
            <w:vAlign w:val="center"/>
          </w:tcPr>
          <w:p w14:paraId="49D812BD" w14:textId="2A4EC2DD" w:rsidR="00AB248E" w:rsidRPr="1A0A3509" w:rsidRDefault="7E1C2007" w:rsidP="00AB248E">
            <w:pPr>
              <w:pStyle w:val="BodyText"/>
              <w:rPr>
                <w:rFonts w:eastAsia="Calibri" w:cs="Calibri"/>
                <w:color w:val="000000" w:themeColor="text1"/>
              </w:rPr>
            </w:pPr>
            <w:r w:rsidRPr="7E1C2007">
              <w:rPr>
                <w:rFonts w:eastAsia="Calibri" w:cs="Calibri"/>
                <w:color w:val="000000" w:themeColor="text1"/>
              </w:rPr>
              <w:t>What evidence, if any, is there of debt spirals and/or continued repeat borrowing for vulnerable borrowers across credit contracts with interest rates of 30 per cent to 49.9 per cent?</w:t>
            </w:r>
          </w:p>
        </w:tc>
      </w:tr>
      <w:tr w:rsidR="00AB248E" w:rsidRPr="00AE6026" w14:paraId="0DBD7CE9" w14:textId="77777777" w:rsidTr="0057631B">
        <w:trPr>
          <w:trHeight w:val="300"/>
        </w:trPr>
        <w:tc>
          <w:tcPr>
            <w:tcW w:w="567" w:type="dxa"/>
            <w:shd w:val="clear" w:color="auto" w:fill="006272"/>
            <w:vAlign w:val="center"/>
          </w:tcPr>
          <w:p w14:paraId="059E0661" w14:textId="77777777" w:rsidR="00AB248E" w:rsidRDefault="00AB248E" w:rsidP="00AB248E">
            <w:pPr>
              <w:pStyle w:val="Questionnumber"/>
              <w:ind w:left="442" w:hanging="357"/>
              <w:jc w:val="left"/>
            </w:pPr>
          </w:p>
        </w:tc>
        <w:tc>
          <w:tcPr>
            <w:tcW w:w="8502" w:type="dxa"/>
            <w:shd w:val="clear" w:color="auto" w:fill="auto"/>
            <w:vAlign w:val="center"/>
          </w:tcPr>
          <w:p w14:paraId="1A677342" w14:textId="77777777" w:rsidR="00AB248E" w:rsidRPr="1A0A3509" w:rsidRDefault="00AB248E" w:rsidP="00AB248E">
            <w:pPr>
              <w:pStyle w:val="BodyText"/>
              <w:rPr>
                <w:rFonts w:eastAsia="Calibri" w:cs="Calibri"/>
                <w:color w:val="000000" w:themeColor="text1"/>
              </w:rPr>
            </w:pPr>
          </w:p>
        </w:tc>
      </w:tr>
      <w:tr w:rsidR="00AB248E" w:rsidRPr="0043538F" w14:paraId="3892D4D7" w14:textId="77777777" w:rsidTr="7E1C2007">
        <w:trPr>
          <w:trHeight w:val="300"/>
        </w:trPr>
        <w:tc>
          <w:tcPr>
            <w:tcW w:w="9069" w:type="dxa"/>
            <w:gridSpan w:val="2"/>
            <w:shd w:val="clear" w:color="auto" w:fill="006272"/>
            <w:vAlign w:val="center"/>
          </w:tcPr>
          <w:p w14:paraId="5FD990BF" w14:textId="5740DDE6" w:rsidR="00AB248E" w:rsidRPr="003E38DB" w:rsidRDefault="00AB248E" w:rsidP="003E38DB">
            <w:pPr>
              <w:pStyle w:val="BodyText"/>
              <w:numPr>
                <w:ilvl w:val="0"/>
                <w:numId w:val="12"/>
              </w:numPr>
              <w:jc w:val="center"/>
              <w:rPr>
                <w:rFonts w:eastAsia="Calibri" w:cs="Calibri"/>
                <w:b/>
                <w:bCs/>
                <w:i w:val="0"/>
                <w:iCs/>
                <w:color w:val="FFFFFF" w:themeColor="background1"/>
              </w:rPr>
            </w:pPr>
            <w:bookmarkStart w:id="3" w:name="_Hlk164322778"/>
            <w:r w:rsidRPr="003E38DB">
              <w:rPr>
                <w:b/>
                <w:bCs/>
                <w:i w:val="0"/>
                <w:iCs/>
                <w:color w:val="FFFFFF" w:themeColor="background1"/>
              </w:rPr>
              <w:t>Options to amend the high-cost credit provisions</w:t>
            </w:r>
          </w:p>
        </w:tc>
      </w:tr>
      <w:tr w:rsidR="00AB248E" w:rsidRPr="0043538F" w14:paraId="3DD49200" w14:textId="77777777" w:rsidTr="7E1C2007">
        <w:trPr>
          <w:trHeight w:val="300"/>
        </w:trPr>
        <w:tc>
          <w:tcPr>
            <w:tcW w:w="9069" w:type="dxa"/>
            <w:gridSpan w:val="2"/>
            <w:shd w:val="clear" w:color="auto" w:fill="006272"/>
            <w:vAlign w:val="center"/>
          </w:tcPr>
          <w:p w14:paraId="27713A41" w14:textId="550B982E" w:rsidR="00AB248E" w:rsidRPr="00415D75" w:rsidRDefault="7E1C2007" w:rsidP="00415D75">
            <w:pPr>
              <w:pStyle w:val="BodyText"/>
              <w:rPr>
                <w:rFonts w:eastAsia="Calibri" w:cs="Calibri"/>
                <w:color w:val="000000" w:themeColor="text1"/>
              </w:rPr>
            </w:pPr>
            <w:bookmarkStart w:id="4" w:name="_Hlk164322957"/>
            <w:bookmarkEnd w:id="3"/>
            <w:r w:rsidRPr="7E1C2007">
              <w:rPr>
                <w:color w:val="FFFFFF" w:themeColor="background1"/>
              </w:rPr>
              <w:t>Option F1: Expanding the definition of a high-cost consumer credit contract to contracts with an interest rate above 30 per cent</w:t>
            </w:r>
          </w:p>
        </w:tc>
      </w:tr>
      <w:tr w:rsidR="00AB248E" w:rsidRPr="00AE6026" w14:paraId="71F20568" w14:textId="77777777" w:rsidTr="0057631B">
        <w:trPr>
          <w:trHeight w:val="300"/>
        </w:trPr>
        <w:tc>
          <w:tcPr>
            <w:tcW w:w="567" w:type="dxa"/>
            <w:tcBorders>
              <w:bottom w:val="single" w:sz="2" w:space="0" w:color="006272"/>
            </w:tcBorders>
            <w:shd w:val="clear" w:color="auto" w:fill="006272"/>
            <w:vAlign w:val="center"/>
          </w:tcPr>
          <w:p w14:paraId="08E77184" w14:textId="64458ED0" w:rsidR="00AB248E" w:rsidRDefault="7E1C2007" w:rsidP="7E1C2007">
            <w:pPr>
              <w:pStyle w:val="Questionnumber"/>
              <w:ind w:left="85"/>
            </w:pPr>
            <w:r>
              <w:t>34</w:t>
            </w:r>
          </w:p>
        </w:tc>
        <w:tc>
          <w:tcPr>
            <w:tcW w:w="8502" w:type="dxa"/>
            <w:shd w:val="clear" w:color="auto" w:fill="auto"/>
            <w:vAlign w:val="center"/>
          </w:tcPr>
          <w:p w14:paraId="31FA7F4A" w14:textId="25976678" w:rsidR="00AB248E" w:rsidRPr="1A0A3509" w:rsidRDefault="7E1C2007" w:rsidP="7E1C2007">
            <w:pPr>
              <w:pStyle w:val="BodyText"/>
              <w:rPr>
                <w:rFonts w:eastAsia="Calibri" w:cs="Calibri"/>
              </w:rPr>
            </w:pPr>
            <w:r w:rsidRPr="7E1C2007">
              <w:rPr>
                <w:rFonts w:eastAsia="Calibri" w:cs="Calibri"/>
              </w:rPr>
              <w:t xml:space="preserve">Are there any other issues associated with loans in the 30 per cent and 50 per cent interest rate range that we should be aware of? </w:t>
            </w:r>
          </w:p>
        </w:tc>
      </w:tr>
      <w:bookmarkEnd w:id="4"/>
      <w:tr w:rsidR="00AB248E" w:rsidRPr="00AE6026" w14:paraId="26DE2F6F" w14:textId="77777777" w:rsidTr="0057631B">
        <w:trPr>
          <w:trHeight w:val="300"/>
        </w:trPr>
        <w:tc>
          <w:tcPr>
            <w:tcW w:w="567" w:type="dxa"/>
            <w:tcBorders>
              <w:top w:val="single" w:sz="2" w:space="0" w:color="006272"/>
            </w:tcBorders>
            <w:shd w:val="clear" w:color="auto" w:fill="006272"/>
            <w:vAlign w:val="center"/>
          </w:tcPr>
          <w:p w14:paraId="6CC66A94" w14:textId="77777777" w:rsidR="00AB248E" w:rsidRDefault="00AB248E" w:rsidP="7E1C2007">
            <w:pPr>
              <w:pStyle w:val="Questionnumber"/>
              <w:ind w:left="442" w:hanging="357"/>
            </w:pPr>
          </w:p>
        </w:tc>
        <w:tc>
          <w:tcPr>
            <w:tcW w:w="8502" w:type="dxa"/>
            <w:shd w:val="clear" w:color="auto" w:fill="auto"/>
            <w:vAlign w:val="center"/>
          </w:tcPr>
          <w:p w14:paraId="12F39D17" w14:textId="77777777" w:rsidR="00AB248E" w:rsidRPr="1A0A3509" w:rsidRDefault="00AB248E" w:rsidP="00AB248E">
            <w:pPr>
              <w:pStyle w:val="BodyText"/>
              <w:rPr>
                <w:rFonts w:eastAsia="Calibri" w:cs="Calibri"/>
                <w:color w:val="000000" w:themeColor="text1"/>
              </w:rPr>
            </w:pPr>
          </w:p>
        </w:tc>
      </w:tr>
      <w:tr w:rsidR="00AB248E" w:rsidRPr="00AE6026" w14:paraId="543C27B8" w14:textId="77777777" w:rsidTr="0057631B">
        <w:trPr>
          <w:trHeight w:val="300"/>
        </w:trPr>
        <w:tc>
          <w:tcPr>
            <w:tcW w:w="567" w:type="dxa"/>
            <w:shd w:val="clear" w:color="auto" w:fill="006272"/>
            <w:vAlign w:val="center"/>
          </w:tcPr>
          <w:p w14:paraId="1C68A7D7" w14:textId="703D8AA9" w:rsidR="00AB248E" w:rsidRDefault="7E1C2007" w:rsidP="7E1C2007">
            <w:pPr>
              <w:pStyle w:val="Questionnumber"/>
              <w:ind w:left="442" w:hanging="357"/>
            </w:pPr>
            <w:r>
              <w:t>35</w:t>
            </w:r>
          </w:p>
        </w:tc>
        <w:tc>
          <w:tcPr>
            <w:tcW w:w="8502" w:type="dxa"/>
            <w:shd w:val="clear" w:color="auto" w:fill="auto"/>
            <w:vAlign w:val="center"/>
          </w:tcPr>
          <w:p w14:paraId="75FBB42D" w14:textId="7A93CA9F" w:rsidR="00AB248E" w:rsidRPr="1A0A3509" w:rsidRDefault="7E1C2007" w:rsidP="7E1C2007">
            <w:pPr>
              <w:pStyle w:val="BodyText"/>
              <w:rPr>
                <w:rFonts w:eastAsia="Calibri" w:cs="Calibri"/>
              </w:rPr>
            </w:pPr>
            <w:r w:rsidRPr="7E1C2007">
              <w:rPr>
                <w:rFonts w:eastAsia="Calibri" w:cs="Calibri"/>
              </w:rPr>
              <w:t>Are there examples where loans with interest rates between 30 per cent and 50 per cent would breach the 0.8 per cent rate of charge cap?</w:t>
            </w:r>
          </w:p>
        </w:tc>
      </w:tr>
      <w:tr w:rsidR="00AB248E" w:rsidRPr="00AE6026" w14:paraId="0AD19A49" w14:textId="77777777" w:rsidTr="0057631B">
        <w:trPr>
          <w:trHeight w:val="300"/>
        </w:trPr>
        <w:tc>
          <w:tcPr>
            <w:tcW w:w="567" w:type="dxa"/>
            <w:shd w:val="clear" w:color="auto" w:fill="006272"/>
            <w:vAlign w:val="center"/>
          </w:tcPr>
          <w:p w14:paraId="415BCE29" w14:textId="77777777" w:rsidR="00AB248E" w:rsidRDefault="00AB248E" w:rsidP="00AB248E">
            <w:pPr>
              <w:pStyle w:val="Questionnumber"/>
              <w:ind w:left="442" w:hanging="357"/>
              <w:jc w:val="left"/>
            </w:pPr>
          </w:p>
        </w:tc>
        <w:tc>
          <w:tcPr>
            <w:tcW w:w="8502" w:type="dxa"/>
            <w:shd w:val="clear" w:color="auto" w:fill="auto"/>
            <w:vAlign w:val="center"/>
          </w:tcPr>
          <w:p w14:paraId="7A00C6A5" w14:textId="77777777" w:rsidR="00AB248E" w:rsidRPr="709D5ABD" w:rsidRDefault="00AB248E" w:rsidP="00AB248E">
            <w:pPr>
              <w:pStyle w:val="BodyText"/>
              <w:rPr>
                <w:rFonts w:eastAsia="Calibri" w:cs="Calibri"/>
              </w:rPr>
            </w:pPr>
          </w:p>
        </w:tc>
      </w:tr>
      <w:tr w:rsidR="00AB248E" w:rsidRPr="0043538F" w14:paraId="3EB7F856" w14:textId="77777777" w:rsidTr="7E1C2007">
        <w:trPr>
          <w:trHeight w:val="300"/>
        </w:trPr>
        <w:tc>
          <w:tcPr>
            <w:tcW w:w="9069" w:type="dxa"/>
            <w:gridSpan w:val="2"/>
            <w:shd w:val="clear" w:color="auto" w:fill="006272"/>
            <w:vAlign w:val="center"/>
          </w:tcPr>
          <w:p w14:paraId="40635B72" w14:textId="76673BD2" w:rsidR="00AB248E" w:rsidRPr="00415D75" w:rsidRDefault="00AB248E" w:rsidP="00415D75">
            <w:pPr>
              <w:pStyle w:val="BodyText"/>
              <w:rPr>
                <w:rFonts w:eastAsia="Calibri" w:cs="Calibri"/>
                <w:color w:val="000000" w:themeColor="text1"/>
              </w:rPr>
            </w:pPr>
            <w:bookmarkStart w:id="5" w:name="_Hlk164323061"/>
            <w:r w:rsidRPr="00415D75">
              <w:rPr>
                <w:color w:val="FFFFFF" w:themeColor="background1"/>
              </w:rPr>
              <w:t xml:space="preserve">Option F2: </w:t>
            </w:r>
            <w:r w:rsidR="00F7095B" w:rsidRPr="00415D75">
              <w:rPr>
                <w:color w:val="FFFFFF" w:themeColor="background1"/>
              </w:rPr>
              <w:t xml:space="preserve">Expanding the definition of a high-cost consumer credit contract to contracts with an interest rate above 45 per cent </w:t>
            </w:r>
          </w:p>
        </w:tc>
      </w:tr>
      <w:bookmarkEnd w:id="5"/>
      <w:tr w:rsidR="3DCD9B46" w14:paraId="2AE6A37D" w14:textId="77777777" w:rsidTr="0057631B">
        <w:trPr>
          <w:trHeight w:val="300"/>
        </w:trPr>
        <w:tc>
          <w:tcPr>
            <w:tcW w:w="567" w:type="dxa"/>
            <w:tcBorders>
              <w:top w:val="single" w:sz="2" w:space="0" w:color="006272"/>
            </w:tcBorders>
            <w:shd w:val="clear" w:color="auto" w:fill="006272"/>
            <w:vAlign w:val="center"/>
          </w:tcPr>
          <w:p w14:paraId="29670F16" w14:textId="5B0F0948" w:rsidR="3DCD9B46" w:rsidRDefault="7E1C2007" w:rsidP="002B2061">
            <w:pPr>
              <w:pStyle w:val="Questionnumber"/>
            </w:pPr>
            <w:r>
              <w:t>36</w:t>
            </w:r>
          </w:p>
        </w:tc>
        <w:tc>
          <w:tcPr>
            <w:tcW w:w="8502" w:type="dxa"/>
            <w:shd w:val="clear" w:color="auto" w:fill="auto"/>
            <w:vAlign w:val="center"/>
          </w:tcPr>
          <w:p w14:paraId="0D089DBB" w14:textId="2AF9FE01" w:rsidR="3DCD9B46" w:rsidRDefault="7E1C2007" w:rsidP="7E1C2007">
            <w:pPr>
              <w:pStyle w:val="BodyText"/>
              <w:rPr>
                <w:rFonts w:eastAsia="Calibri" w:cs="Calibri"/>
              </w:rPr>
            </w:pPr>
            <w:r w:rsidRPr="7E1C2007">
              <w:rPr>
                <w:rFonts w:eastAsia="Calibri" w:cs="Calibri"/>
                <w:color w:val="000000" w:themeColor="text1"/>
              </w:rPr>
              <w:t xml:space="preserve">What evidence, if any, is there of debt spirals and/or continued repeat borrowing for vulnerable borrowers across credit contracts with interest rates of 45 per cent to 49.9 per cent? </w:t>
            </w:r>
            <w:r w:rsidRPr="7E1C2007">
              <w:rPr>
                <w:rFonts w:eastAsia="Calibri" w:cs="Calibri"/>
              </w:rPr>
              <w:t>Are there any other issues associated with loans in this interest rate range that we should be aware of?</w:t>
            </w:r>
          </w:p>
        </w:tc>
      </w:tr>
      <w:tr w:rsidR="7E1C2007" w14:paraId="7685157B" w14:textId="77777777" w:rsidTr="0057631B">
        <w:trPr>
          <w:trHeight w:val="300"/>
        </w:trPr>
        <w:tc>
          <w:tcPr>
            <w:tcW w:w="567" w:type="dxa"/>
            <w:tcBorders>
              <w:top w:val="single" w:sz="2" w:space="0" w:color="006272"/>
            </w:tcBorders>
            <w:shd w:val="clear" w:color="auto" w:fill="006272"/>
            <w:vAlign w:val="center"/>
          </w:tcPr>
          <w:p w14:paraId="3ED829CA" w14:textId="68451840" w:rsidR="7E1C2007" w:rsidRDefault="7E1C2007" w:rsidP="7E1C2007">
            <w:pPr>
              <w:pStyle w:val="Questionnumber"/>
            </w:pPr>
          </w:p>
        </w:tc>
        <w:tc>
          <w:tcPr>
            <w:tcW w:w="8502" w:type="dxa"/>
            <w:shd w:val="clear" w:color="auto" w:fill="auto"/>
            <w:vAlign w:val="center"/>
          </w:tcPr>
          <w:p w14:paraId="5050C8D4" w14:textId="4AB2F391" w:rsidR="7E1C2007" w:rsidRDefault="7E1C2007" w:rsidP="7E1C2007">
            <w:pPr>
              <w:pStyle w:val="BodyText"/>
              <w:rPr>
                <w:rFonts w:eastAsia="Calibri" w:cs="Calibri"/>
                <w:color w:val="000000" w:themeColor="text1"/>
              </w:rPr>
            </w:pPr>
          </w:p>
        </w:tc>
      </w:tr>
      <w:tr w:rsidR="3DCD9B46" w14:paraId="75E35A66" w14:textId="77777777" w:rsidTr="0057631B">
        <w:trPr>
          <w:trHeight w:val="300"/>
        </w:trPr>
        <w:tc>
          <w:tcPr>
            <w:tcW w:w="567" w:type="dxa"/>
            <w:tcBorders>
              <w:top w:val="single" w:sz="2" w:space="0" w:color="006272"/>
            </w:tcBorders>
            <w:shd w:val="clear" w:color="auto" w:fill="006272"/>
            <w:vAlign w:val="center"/>
          </w:tcPr>
          <w:p w14:paraId="7B7192A6" w14:textId="33D3F252" w:rsidR="3DCD9B46" w:rsidRDefault="7E1C2007" w:rsidP="002B2061">
            <w:pPr>
              <w:pStyle w:val="Questionnumber"/>
            </w:pPr>
            <w:r>
              <w:t>37</w:t>
            </w:r>
          </w:p>
        </w:tc>
        <w:tc>
          <w:tcPr>
            <w:tcW w:w="8502" w:type="dxa"/>
            <w:shd w:val="clear" w:color="auto" w:fill="auto"/>
            <w:vAlign w:val="center"/>
          </w:tcPr>
          <w:p w14:paraId="3133F522" w14:textId="1145CB2C" w:rsidR="3DCD9B46" w:rsidRDefault="7E1C2007" w:rsidP="7E1C2007">
            <w:pPr>
              <w:rPr>
                <w:rFonts w:eastAsia="Calibri" w:cs="Calibri"/>
                <w:i/>
                <w:iCs/>
              </w:rPr>
            </w:pPr>
            <w:r w:rsidRPr="7E1C2007">
              <w:rPr>
                <w:rFonts w:eastAsia="Calibri" w:cs="Calibri"/>
                <w:i/>
                <w:iCs/>
              </w:rPr>
              <w:t xml:space="preserve">For lenders: If the government extended the high-cost provisions to loans with annual interest rate of 30 per cent or more, what would be the impact on your operations (if any)? Are there any changes to the high-cost provisions we should consider </w:t>
            </w:r>
            <w:proofErr w:type="gramStart"/>
            <w:r w:rsidRPr="7E1C2007">
              <w:rPr>
                <w:rFonts w:eastAsia="Calibri" w:cs="Calibri"/>
                <w:i/>
                <w:iCs/>
              </w:rPr>
              <w:t>to enable</w:t>
            </w:r>
            <w:proofErr w:type="gramEnd"/>
            <w:r w:rsidRPr="7E1C2007">
              <w:rPr>
                <w:rFonts w:eastAsia="Calibri" w:cs="Calibri"/>
                <w:i/>
                <w:iCs/>
              </w:rPr>
              <w:t xml:space="preserve"> those loans to remain profitable, and on what terms?</w:t>
            </w:r>
          </w:p>
        </w:tc>
      </w:tr>
      <w:tr w:rsidR="3DCD9B46" w14:paraId="5DE82B6B" w14:textId="77777777" w:rsidTr="0057631B">
        <w:trPr>
          <w:trHeight w:val="300"/>
        </w:trPr>
        <w:tc>
          <w:tcPr>
            <w:tcW w:w="567" w:type="dxa"/>
            <w:tcBorders>
              <w:top w:val="single" w:sz="2" w:space="0" w:color="006272"/>
            </w:tcBorders>
            <w:shd w:val="clear" w:color="auto" w:fill="006272"/>
            <w:vAlign w:val="center"/>
          </w:tcPr>
          <w:p w14:paraId="4DC4BEED" w14:textId="614A4CD9" w:rsidR="3DCD9B46" w:rsidRDefault="3DCD9B46" w:rsidP="002B2061">
            <w:pPr>
              <w:pStyle w:val="Questionnumber"/>
            </w:pPr>
          </w:p>
        </w:tc>
        <w:tc>
          <w:tcPr>
            <w:tcW w:w="8502" w:type="dxa"/>
            <w:shd w:val="clear" w:color="auto" w:fill="auto"/>
            <w:vAlign w:val="center"/>
          </w:tcPr>
          <w:p w14:paraId="7CFE0EB7" w14:textId="2BAD7E23" w:rsidR="3DCD9B46" w:rsidRDefault="3DCD9B46" w:rsidP="7E1C2007">
            <w:pPr>
              <w:rPr>
                <w:i/>
                <w:iCs/>
              </w:rPr>
            </w:pPr>
          </w:p>
        </w:tc>
      </w:tr>
      <w:tr w:rsidR="3DCD9B46" w14:paraId="536F67D6" w14:textId="77777777" w:rsidTr="0057631B">
        <w:trPr>
          <w:trHeight w:val="300"/>
        </w:trPr>
        <w:tc>
          <w:tcPr>
            <w:tcW w:w="567" w:type="dxa"/>
            <w:tcBorders>
              <w:top w:val="single" w:sz="2" w:space="0" w:color="006272"/>
            </w:tcBorders>
            <w:shd w:val="clear" w:color="auto" w:fill="006272"/>
            <w:vAlign w:val="center"/>
          </w:tcPr>
          <w:p w14:paraId="15B1DB58" w14:textId="2D628420" w:rsidR="3DCD9B46" w:rsidRDefault="7E1C2007" w:rsidP="7E1C2007">
            <w:pPr>
              <w:pStyle w:val="Questionnumber"/>
            </w:pPr>
            <w:r>
              <w:t>38</w:t>
            </w:r>
          </w:p>
        </w:tc>
        <w:tc>
          <w:tcPr>
            <w:tcW w:w="8502" w:type="dxa"/>
            <w:shd w:val="clear" w:color="auto" w:fill="auto"/>
            <w:vAlign w:val="center"/>
          </w:tcPr>
          <w:p w14:paraId="244A4B30" w14:textId="1C2898AC" w:rsidR="3DCD9B46" w:rsidRDefault="7E1C2007" w:rsidP="7E1C2007">
            <w:pPr>
              <w:spacing w:before="240" w:after="240"/>
              <w:rPr>
                <w:i/>
                <w:iCs/>
              </w:rPr>
            </w:pPr>
            <w:r w:rsidRPr="7E1C2007">
              <w:rPr>
                <w:i/>
                <w:iCs/>
              </w:rPr>
              <w:t xml:space="preserve">How is a revised definition of a high-cost consumer credit contract interest rate </w:t>
            </w:r>
            <w:r w:rsidR="00C47AED" w:rsidRPr="7E1C2007">
              <w:rPr>
                <w:i/>
                <w:iCs/>
              </w:rPr>
              <w:t>threshold likely</w:t>
            </w:r>
            <w:r w:rsidRPr="7E1C2007">
              <w:rPr>
                <w:i/>
                <w:iCs/>
              </w:rPr>
              <w:t xml:space="preserve"> to affect access to credit for borrowers?</w:t>
            </w:r>
          </w:p>
        </w:tc>
      </w:tr>
      <w:tr w:rsidR="3DCD9B46" w14:paraId="6D3781BB" w14:textId="77777777" w:rsidTr="0057631B">
        <w:trPr>
          <w:trHeight w:val="300"/>
        </w:trPr>
        <w:tc>
          <w:tcPr>
            <w:tcW w:w="567" w:type="dxa"/>
            <w:tcBorders>
              <w:top w:val="single" w:sz="2" w:space="0" w:color="006272"/>
            </w:tcBorders>
            <w:shd w:val="clear" w:color="auto" w:fill="006272"/>
            <w:vAlign w:val="center"/>
          </w:tcPr>
          <w:p w14:paraId="02E00780" w14:textId="4DE34ACA" w:rsidR="3DCD9B46" w:rsidRDefault="3DCD9B46" w:rsidP="002B2061">
            <w:pPr>
              <w:pStyle w:val="Questionnumber"/>
            </w:pPr>
          </w:p>
        </w:tc>
        <w:tc>
          <w:tcPr>
            <w:tcW w:w="8502" w:type="dxa"/>
            <w:shd w:val="clear" w:color="auto" w:fill="auto"/>
            <w:vAlign w:val="center"/>
          </w:tcPr>
          <w:p w14:paraId="283BF87D" w14:textId="4DD40C7C" w:rsidR="3DCD9B46" w:rsidRDefault="3DCD9B46" w:rsidP="002B2061">
            <w:pPr>
              <w:pStyle w:val="BodyText"/>
              <w:rPr>
                <w:rFonts w:eastAsia="Calibri" w:cs="Calibri"/>
              </w:rPr>
            </w:pPr>
          </w:p>
        </w:tc>
      </w:tr>
      <w:tr w:rsidR="00AB248E" w:rsidRPr="00AE6026" w14:paraId="6AEE526A" w14:textId="77777777" w:rsidTr="0057631B">
        <w:trPr>
          <w:trHeight w:val="300"/>
        </w:trPr>
        <w:tc>
          <w:tcPr>
            <w:tcW w:w="567" w:type="dxa"/>
            <w:tcBorders>
              <w:top w:val="single" w:sz="2" w:space="0" w:color="006272"/>
            </w:tcBorders>
            <w:shd w:val="clear" w:color="auto" w:fill="006272"/>
            <w:vAlign w:val="center"/>
          </w:tcPr>
          <w:p w14:paraId="1B2FB8FF" w14:textId="75FC69C2" w:rsidR="00AB248E" w:rsidRDefault="7E1C2007" w:rsidP="7E1C2007">
            <w:pPr>
              <w:pStyle w:val="Questionnumber"/>
              <w:ind w:left="85"/>
            </w:pPr>
            <w:r>
              <w:t>39</w:t>
            </w:r>
          </w:p>
        </w:tc>
        <w:tc>
          <w:tcPr>
            <w:tcW w:w="8502" w:type="dxa"/>
            <w:shd w:val="clear" w:color="auto" w:fill="auto"/>
            <w:vAlign w:val="center"/>
          </w:tcPr>
          <w:p w14:paraId="10D8DEF7" w14:textId="21C8C71D" w:rsidR="00AB248E" w:rsidRPr="1A0A3509" w:rsidRDefault="00AB248E" w:rsidP="00AB248E">
            <w:pPr>
              <w:pStyle w:val="BodyText"/>
              <w:rPr>
                <w:rFonts w:eastAsia="Calibri" w:cs="Calibri"/>
                <w:color w:val="000000" w:themeColor="text1"/>
              </w:rPr>
            </w:pPr>
            <w:r w:rsidRPr="00575229">
              <w:rPr>
                <w:rFonts w:eastAsia="Calibri" w:cs="Calibri"/>
              </w:rPr>
              <w:t>Do you recommend considering another interest rate threshold? If yes, please explain why.</w:t>
            </w:r>
          </w:p>
        </w:tc>
      </w:tr>
      <w:tr w:rsidR="00AB248E" w:rsidRPr="00AE6026" w14:paraId="196E182E" w14:textId="77777777" w:rsidTr="0057631B">
        <w:trPr>
          <w:trHeight w:val="300"/>
        </w:trPr>
        <w:tc>
          <w:tcPr>
            <w:tcW w:w="567" w:type="dxa"/>
            <w:shd w:val="clear" w:color="auto" w:fill="006272"/>
            <w:vAlign w:val="center"/>
          </w:tcPr>
          <w:p w14:paraId="53DC9E8C" w14:textId="77777777" w:rsidR="00AB248E" w:rsidRDefault="00AB248E" w:rsidP="00AB248E">
            <w:pPr>
              <w:pStyle w:val="Questionnumber"/>
              <w:ind w:left="442" w:hanging="357"/>
              <w:jc w:val="left"/>
            </w:pPr>
          </w:p>
        </w:tc>
        <w:tc>
          <w:tcPr>
            <w:tcW w:w="8502" w:type="dxa"/>
            <w:shd w:val="clear" w:color="auto" w:fill="auto"/>
            <w:vAlign w:val="center"/>
          </w:tcPr>
          <w:p w14:paraId="51BB4C61" w14:textId="77777777" w:rsidR="00AB248E" w:rsidRPr="1A0A3509" w:rsidRDefault="00AB248E" w:rsidP="00AB248E">
            <w:pPr>
              <w:pStyle w:val="BodyText"/>
              <w:rPr>
                <w:rFonts w:eastAsia="Calibri" w:cs="Calibri"/>
                <w:color w:val="000000" w:themeColor="text1"/>
              </w:rPr>
            </w:pPr>
          </w:p>
        </w:tc>
      </w:tr>
      <w:tr w:rsidR="00AB248E" w:rsidRPr="0043538F" w14:paraId="200A5060" w14:textId="77777777" w:rsidTr="7E1C2007">
        <w:trPr>
          <w:trHeight w:val="300"/>
        </w:trPr>
        <w:tc>
          <w:tcPr>
            <w:tcW w:w="9069" w:type="dxa"/>
            <w:gridSpan w:val="2"/>
            <w:shd w:val="clear" w:color="auto" w:fill="006272"/>
            <w:vAlign w:val="center"/>
          </w:tcPr>
          <w:p w14:paraId="027A11D2" w14:textId="68115499" w:rsidR="00AB248E" w:rsidRPr="00415D75" w:rsidRDefault="00AB248E" w:rsidP="00415D75">
            <w:pPr>
              <w:pStyle w:val="BodyText"/>
              <w:rPr>
                <w:rFonts w:eastAsia="Calibri" w:cs="Calibri"/>
                <w:bCs/>
                <w:color w:val="000000" w:themeColor="text1"/>
              </w:rPr>
            </w:pPr>
            <w:r w:rsidRPr="00415D75">
              <w:rPr>
                <w:bCs/>
                <w:color w:val="FFFFFF"/>
              </w:rPr>
              <w:t>Option</w:t>
            </w:r>
            <w:r w:rsidRPr="00415D75">
              <w:rPr>
                <w:bCs/>
                <w:color w:val="FFFFFF" w:themeColor="background1"/>
              </w:rPr>
              <w:t xml:space="preserve"> F3:</w:t>
            </w:r>
            <w:r w:rsidR="00F7095B" w:rsidRPr="00415D75">
              <w:rPr>
                <w:bCs/>
                <w:color w:val="FFFFFF" w:themeColor="background1"/>
              </w:rPr>
              <w:t xml:space="preserve"> Status quo</w:t>
            </w:r>
          </w:p>
        </w:tc>
      </w:tr>
      <w:tr w:rsidR="00AB248E" w:rsidRPr="00AE6026" w14:paraId="27A8DDE5" w14:textId="77777777" w:rsidTr="0057631B">
        <w:trPr>
          <w:trHeight w:val="300"/>
        </w:trPr>
        <w:tc>
          <w:tcPr>
            <w:tcW w:w="567" w:type="dxa"/>
            <w:shd w:val="clear" w:color="auto" w:fill="006272"/>
            <w:vAlign w:val="center"/>
          </w:tcPr>
          <w:p w14:paraId="6E5394CB" w14:textId="187BA5B9" w:rsidR="00AB248E" w:rsidRDefault="7E1C2007" w:rsidP="7E1C2007">
            <w:pPr>
              <w:pStyle w:val="Questionnumber"/>
              <w:ind w:left="85"/>
            </w:pPr>
            <w:r>
              <w:t>40</w:t>
            </w:r>
          </w:p>
        </w:tc>
        <w:tc>
          <w:tcPr>
            <w:tcW w:w="8502" w:type="dxa"/>
            <w:shd w:val="clear" w:color="auto" w:fill="auto"/>
            <w:vAlign w:val="center"/>
          </w:tcPr>
          <w:p w14:paraId="178014C1" w14:textId="0399C8D6" w:rsidR="00AB248E" w:rsidRPr="1A0A3509" w:rsidRDefault="7E1C2007" w:rsidP="002B2061">
            <w:pPr>
              <w:pStyle w:val="BodyText"/>
              <w:rPr>
                <w:rFonts w:eastAsia="Calibri" w:cs="Calibri"/>
              </w:rPr>
            </w:pPr>
            <w:r w:rsidRPr="7E1C2007">
              <w:rPr>
                <w:rFonts w:eastAsia="Calibri" w:cs="Calibri"/>
                <w:color w:val="000000" w:themeColor="text1"/>
              </w:rPr>
              <w:t>Do you have any other feedback on any of the high-cost credit provisions? Have they been effective in reducing financial harm caused by the excessive cost of credit for some types of loans and repeat borrowing by vulnerable consumers?</w:t>
            </w:r>
            <w:r>
              <w:t xml:space="preserve"> </w:t>
            </w:r>
          </w:p>
        </w:tc>
      </w:tr>
      <w:tr w:rsidR="00F7095B" w:rsidRPr="00AE6026" w14:paraId="5A45940B" w14:textId="77777777" w:rsidTr="0057631B">
        <w:trPr>
          <w:trHeight w:val="300"/>
        </w:trPr>
        <w:tc>
          <w:tcPr>
            <w:tcW w:w="567" w:type="dxa"/>
            <w:shd w:val="clear" w:color="auto" w:fill="006272"/>
            <w:vAlign w:val="center"/>
          </w:tcPr>
          <w:p w14:paraId="6ED73AEC" w14:textId="77777777" w:rsidR="00F7095B" w:rsidRDefault="00F7095B" w:rsidP="00AB248E">
            <w:pPr>
              <w:pStyle w:val="Questionnumber"/>
              <w:ind w:left="442" w:hanging="357"/>
              <w:jc w:val="left"/>
            </w:pPr>
          </w:p>
        </w:tc>
        <w:tc>
          <w:tcPr>
            <w:tcW w:w="8502" w:type="dxa"/>
            <w:shd w:val="clear" w:color="auto" w:fill="auto"/>
            <w:vAlign w:val="center"/>
          </w:tcPr>
          <w:p w14:paraId="51FC61ED" w14:textId="77777777" w:rsidR="00F7095B" w:rsidRPr="6C6FE5EA" w:rsidRDefault="00F7095B" w:rsidP="00AB248E">
            <w:pPr>
              <w:pStyle w:val="BodyText"/>
              <w:rPr>
                <w:rFonts w:eastAsia="Calibri" w:cs="Calibri"/>
              </w:rPr>
            </w:pPr>
          </w:p>
        </w:tc>
      </w:tr>
      <w:tr w:rsidR="00415D75" w:rsidRPr="00AE6026" w14:paraId="28935228" w14:textId="77777777" w:rsidTr="7E1C2007">
        <w:trPr>
          <w:trHeight w:val="300"/>
        </w:trPr>
        <w:tc>
          <w:tcPr>
            <w:tcW w:w="9069" w:type="dxa"/>
            <w:gridSpan w:val="2"/>
            <w:shd w:val="clear" w:color="auto" w:fill="006272"/>
            <w:vAlign w:val="center"/>
          </w:tcPr>
          <w:p w14:paraId="44DE8B50" w14:textId="536F69A0" w:rsidR="00415D75" w:rsidRPr="00415D75" w:rsidRDefault="00415D75" w:rsidP="00415D75">
            <w:pPr>
              <w:pStyle w:val="BodyText"/>
              <w:rPr>
                <w:rFonts w:eastAsia="Calibri" w:cs="Calibri"/>
                <w:bCs/>
                <w:color w:val="000000" w:themeColor="text1"/>
              </w:rPr>
            </w:pPr>
            <w:r w:rsidRPr="00415D75">
              <w:rPr>
                <w:bCs/>
                <w:color w:val="FFFFFF"/>
              </w:rPr>
              <w:t>Option</w:t>
            </w:r>
            <w:r w:rsidRPr="00415D75">
              <w:rPr>
                <w:bCs/>
                <w:color w:val="FFFFFF" w:themeColor="background1"/>
              </w:rPr>
              <w:t xml:space="preserve"> F4: Other high-cost provisions</w:t>
            </w:r>
            <w:r w:rsidRPr="00415D75">
              <w:rPr>
                <w:rFonts w:eastAsia="Calibri" w:cs="Calibri"/>
                <w:bCs/>
                <w:color w:val="000000" w:themeColor="text1"/>
              </w:rPr>
              <w:t xml:space="preserve"> </w:t>
            </w:r>
          </w:p>
        </w:tc>
      </w:tr>
      <w:tr w:rsidR="00F7095B" w:rsidRPr="00AE6026" w14:paraId="592EE192" w14:textId="77777777" w:rsidTr="0057631B">
        <w:trPr>
          <w:trHeight w:val="300"/>
        </w:trPr>
        <w:tc>
          <w:tcPr>
            <w:tcW w:w="567" w:type="dxa"/>
            <w:shd w:val="clear" w:color="auto" w:fill="006272"/>
            <w:vAlign w:val="center"/>
          </w:tcPr>
          <w:p w14:paraId="5758D0D0" w14:textId="15C5BFAC" w:rsidR="00F7095B" w:rsidRDefault="7E1C2007" w:rsidP="7E1C2007">
            <w:pPr>
              <w:pStyle w:val="Questionnumber"/>
              <w:ind w:left="85"/>
            </w:pPr>
            <w:r>
              <w:t>41</w:t>
            </w:r>
          </w:p>
        </w:tc>
        <w:tc>
          <w:tcPr>
            <w:tcW w:w="8502" w:type="dxa"/>
            <w:shd w:val="clear" w:color="auto" w:fill="auto"/>
            <w:vAlign w:val="center"/>
          </w:tcPr>
          <w:p w14:paraId="054F95B5" w14:textId="524DFBB8" w:rsidR="00F7095B" w:rsidRPr="1A0A3509" w:rsidRDefault="7E1C2007" w:rsidP="3DCD9B46">
            <w:pPr>
              <w:pStyle w:val="BodyText"/>
            </w:pPr>
            <w:r>
              <w:t>Is there evidence of certain industry lending practices that are causing harm which the high-cost credit provisions could address?</w:t>
            </w:r>
          </w:p>
        </w:tc>
      </w:tr>
      <w:tr w:rsidR="00F7095B" w:rsidRPr="00AE6026" w14:paraId="4AF3A59C" w14:textId="77777777" w:rsidTr="0057631B">
        <w:trPr>
          <w:trHeight w:val="300"/>
        </w:trPr>
        <w:tc>
          <w:tcPr>
            <w:tcW w:w="567" w:type="dxa"/>
            <w:shd w:val="clear" w:color="auto" w:fill="006272"/>
            <w:vAlign w:val="center"/>
          </w:tcPr>
          <w:p w14:paraId="018A4D09" w14:textId="77777777" w:rsidR="00F7095B" w:rsidRDefault="00F7095B" w:rsidP="7E1C2007">
            <w:pPr>
              <w:pStyle w:val="Questionnumber"/>
              <w:ind w:left="442" w:hanging="357"/>
            </w:pPr>
          </w:p>
        </w:tc>
        <w:tc>
          <w:tcPr>
            <w:tcW w:w="8502" w:type="dxa"/>
            <w:shd w:val="clear" w:color="auto" w:fill="auto"/>
            <w:vAlign w:val="center"/>
          </w:tcPr>
          <w:p w14:paraId="31BA163B" w14:textId="77777777" w:rsidR="00F7095B" w:rsidRPr="1A0A3509" w:rsidRDefault="00F7095B" w:rsidP="00AB248E">
            <w:pPr>
              <w:pStyle w:val="BodyText"/>
              <w:rPr>
                <w:rFonts w:eastAsia="Calibri" w:cs="Calibri"/>
                <w:color w:val="000000" w:themeColor="text1"/>
              </w:rPr>
            </w:pPr>
          </w:p>
        </w:tc>
      </w:tr>
      <w:tr w:rsidR="00F7095B" w:rsidRPr="00AE6026" w14:paraId="27755425" w14:textId="77777777" w:rsidTr="0057631B">
        <w:trPr>
          <w:trHeight w:val="300"/>
        </w:trPr>
        <w:tc>
          <w:tcPr>
            <w:tcW w:w="567" w:type="dxa"/>
            <w:shd w:val="clear" w:color="auto" w:fill="006272"/>
            <w:vAlign w:val="center"/>
          </w:tcPr>
          <w:p w14:paraId="06B4547B" w14:textId="3D508AE1" w:rsidR="00F7095B" w:rsidRDefault="7E1C2007" w:rsidP="7E1C2007">
            <w:pPr>
              <w:pStyle w:val="Questionnumber"/>
              <w:ind w:left="442" w:hanging="357"/>
            </w:pPr>
            <w:r>
              <w:t>42</w:t>
            </w:r>
          </w:p>
        </w:tc>
        <w:tc>
          <w:tcPr>
            <w:tcW w:w="8502" w:type="dxa"/>
            <w:shd w:val="clear" w:color="auto" w:fill="auto"/>
            <w:vAlign w:val="center"/>
          </w:tcPr>
          <w:p w14:paraId="4F19AFAD" w14:textId="15FFDD6C" w:rsidR="00F7095B" w:rsidRPr="1A0A3509" w:rsidRDefault="7E1C2007" w:rsidP="00F7095B">
            <w:pPr>
              <w:pStyle w:val="BodyText"/>
              <w:rPr>
                <w:rFonts w:eastAsia="Calibri" w:cs="Calibri"/>
                <w:color w:val="000000" w:themeColor="text1"/>
              </w:rPr>
            </w:pPr>
            <w:r w:rsidRPr="7E1C2007">
              <w:rPr>
                <w:rFonts w:eastAsia="Calibri" w:cs="Calibri"/>
              </w:rPr>
              <w:t>Are there any other industry lending practices that you believe are harmful to consumers?</w:t>
            </w:r>
          </w:p>
        </w:tc>
      </w:tr>
      <w:tr w:rsidR="00F7095B" w:rsidRPr="00AE6026" w14:paraId="101CE1F5" w14:textId="77777777" w:rsidTr="0057631B">
        <w:trPr>
          <w:trHeight w:val="300"/>
        </w:trPr>
        <w:tc>
          <w:tcPr>
            <w:tcW w:w="567" w:type="dxa"/>
            <w:shd w:val="clear" w:color="auto" w:fill="006272"/>
            <w:vAlign w:val="center"/>
          </w:tcPr>
          <w:p w14:paraId="4D09E1CB" w14:textId="77777777" w:rsidR="00F7095B" w:rsidRDefault="00F7095B" w:rsidP="7E1C2007">
            <w:pPr>
              <w:pStyle w:val="Questionnumber"/>
              <w:ind w:left="442" w:hanging="357"/>
            </w:pPr>
          </w:p>
        </w:tc>
        <w:tc>
          <w:tcPr>
            <w:tcW w:w="8502" w:type="dxa"/>
            <w:shd w:val="clear" w:color="auto" w:fill="auto"/>
            <w:vAlign w:val="center"/>
          </w:tcPr>
          <w:p w14:paraId="0F281791" w14:textId="77777777" w:rsidR="00F7095B" w:rsidRPr="1A0A3509" w:rsidRDefault="00F7095B" w:rsidP="00F7095B">
            <w:pPr>
              <w:pStyle w:val="BodyText"/>
              <w:rPr>
                <w:rFonts w:eastAsia="Calibri" w:cs="Calibri"/>
                <w:color w:val="000000" w:themeColor="text1"/>
              </w:rPr>
            </w:pPr>
          </w:p>
        </w:tc>
      </w:tr>
      <w:tr w:rsidR="00F7095B" w:rsidRPr="00AE6026" w14:paraId="23B3B721" w14:textId="77777777" w:rsidTr="0057631B">
        <w:trPr>
          <w:trHeight w:val="300"/>
        </w:trPr>
        <w:tc>
          <w:tcPr>
            <w:tcW w:w="567" w:type="dxa"/>
            <w:shd w:val="clear" w:color="auto" w:fill="006272"/>
            <w:vAlign w:val="center"/>
          </w:tcPr>
          <w:p w14:paraId="7EDFC115" w14:textId="26259EB7" w:rsidR="00F7095B" w:rsidRDefault="7E1C2007" w:rsidP="7E1C2007">
            <w:pPr>
              <w:pStyle w:val="Questionnumber"/>
              <w:ind w:left="442" w:hanging="357"/>
            </w:pPr>
            <w:r>
              <w:t>43</w:t>
            </w:r>
          </w:p>
        </w:tc>
        <w:tc>
          <w:tcPr>
            <w:tcW w:w="8502" w:type="dxa"/>
            <w:shd w:val="clear" w:color="auto" w:fill="auto"/>
            <w:vAlign w:val="center"/>
          </w:tcPr>
          <w:p w14:paraId="68FF42D4" w14:textId="60CF9687" w:rsidR="00F7095B" w:rsidRPr="1A0A3509" w:rsidRDefault="00F7095B" w:rsidP="00F7095B">
            <w:pPr>
              <w:pStyle w:val="BodyText"/>
              <w:rPr>
                <w:rFonts w:eastAsia="Calibri" w:cs="Calibri"/>
                <w:color w:val="000000" w:themeColor="text1"/>
              </w:rPr>
            </w:pPr>
            <w:r w:rsidRPr="00EB34A9">
              <w:rPr>
                <w:rFonts w:eastAsia="Calibri" w:cs="Calibri"/>
              </w:rPr>
              <w:t>Do you agree with the suggested impacts of each of the identified options? Why/why not?</w:t>
            </w:r>
          </w:p>
        </w:tc>
      </w:tr>
      <w:tr w:rsidR="00F7095B" w:rsidRPr="00AE6026" w14:paraId="3483FA8F" w14:textId="77777777" w:rsidTr="0057631B">
        <w:trPr>
          <w:trHeight w:val="300"/>
        </w:trPr>
        <w:tc>
          <w:tcPr>
            <w:tcW w:w="567" w:type="dxa"/>
            <w:shd w:val="clear" w:color="auto" w:fill="006272"/>
            <w:vAlign w:val="center"/>
          </w:tcPr>
          <w:p w14:paraId="5F22F39E" w14:textId="77777777" w:rsidR="00F7095B" w:rsidRDefault="00F7095B" w:rsidP="7E1C2007">
            <w:pPr>
              <w:pStyle w:val="Questionnumber"/>
              <w:ind w:left="442" w:hanging="357"/>
            </w:pPr>
          </w:p>
        </w:tc>
        <w:tc>
          <w:tcPr>
            <w:tcW w:w="8502" w:type="dxa"/>
            <w:shd w:val="clear" w:color="auto" w:fill="auto"/>
            <w:vAlign w:val="center"/>
          </w:tcPr>
          <w:p w14:paraId="5AE8EAC9" w14:textId="77777777" w:rsidR="00F7095B" w:rsidRPr="1A0A3509" w:rsidRDefault="00F7095B" w:rsidP="00F7095B">
            <w:pPr>
              <w:pStyle w:val="BodyText"/>
              <w:rPr>
                <w:rFonts w:eastAsia="Calibri" w:cs="Calibri"/>
                <w:color w:val="000000" w:themeColor="text1"/>
              </w:rPr>
            </w:pPr>
          </w:p>
        </w:tc>
      </w:tr>
      <w:tr w:rsidR="00F7095B" w:rsidRPr="00AE6026" w14:paraId="5CF28269" w14:textId="77777777" w:rsidTr="0057631B">
        <w:trPr>
          <w:trHeight w:val="300"/>
        </w:trPr>
        <w:tc>
          <w:tcPr>
            <w:tcW w:w="567" w:type="dxa"/>
            <w:shd w:val="clear" w:color="auto" w:fill="006272"/>
            <w:vAlign w:val="center"/>
          </w:tcPr>
          <w:p w14:paraId="68086871" w14:textId="0CC93E07" w:rsidR="00F7095B" w:rsidRDefault="7E1C2007" w:rsidP="7E1C2007">
            <w:pPr>
              <w:pStyle w:val="Questionnumber"/>
              <w:ind w:left="442" w:hanging="357"/>
            </w:pPr>
            <w:r>
              <w:t>44</w:t>
            </w:r>
          </w:p>
        </w:tc>
        <w:tc>
          <w:tcPr>
            <w:tcW w:w="8502" w:type="dxa"/>
            <w:shd w:val="clear" w:color="auto" w:fill="auto"/>
            <w:vAlign w:val="center"/>
          </w:tcPr>
          <w:p w14:paraId="259B96BC" w14:textId="7C198F72" w:rsidR="00F7095B" w:rsidRPr="1A0A3509" w:rsidRDefault="7E1C2007" w:rsidP="00F7095B">
            <w:pPr>
              <w:pStyle w:val="BodyText"/>
              <w:rPr>
                <w:rFonts w:eastAsia="Calibri" w:cs="Calibri"/>
                <w:color w:val="000000" w:themeColor="text1"/>
              </w:rPr>
            </w:pPr>
            <w:r w:rsidRPr="7E1C2007">
              <w:rPr>
                <w:rFonts w:eastAsia="Calibri" w:cs="Calibri"/>
              </w:rPr>
              <w:t>Do you have any information or data that would support our assessment of the impacts of each of the options?</w:t>
            </w:r>
          </w:p>
        </w:tc>
      </w:tr>
      <w:tr w:rsidR="00094D94" w:rsidRPr="00AE6026" w14:paraId="74E56B07" w14:textId="77777777" w:rsidTr="0057631B">
        <w:trPr>
          <w:trHeight w:val="300"/>
        </w:trPr>
        <w:tc>
          <w:tcPr>
            <w:tcW w:w="567" w:type="dxa"/>
            <w:shd w:val="clear" w:color="auto" w:fill="006272"/>
            <w:vAlign w:val="center"/>
          </w:tcPr>
          <w:p w14:paraId="0371E5F5" w14:textId="77777777" w:rsidR="00094D94" w:rsidRDefault="00094D94" w:rsidP="7E1C2007">
            <w:pPr>
              <w:pStyle w:val="Questionnumber"/>
              <w:ind w:left="442" w:hanging="357"/>
            </w:pPr>
          </w:p>
        </w:tc>
        <w:tc>
          <w:tcPr>
            <w:tcW w:w="8502" w:type="dxa"/>
            <w:shd w:val="clear" w:color="auto" w:fill="auto"/>
            <w:vAlign w:val="center"/>
          </w:tcPr>
          <w:p w14:paraId="438F8B72" w14:textId="77777777" w:rsidR="00094D94" w:rsidRPr="7E1C2007" w:rsidRDefault="00094D94" w:rsidP="00F7095B">
            <w:pPr>
              <w:pStyle w:val="BodyText"/>
              <w:rPr>
                <w:rFonts w:eastAsia="Calibri" w:cs="Calibri"/>
              </w:rPr>
            </w:pPr>
          </w:p>
        </w:tc>
      </w:tr>
      <w:tr w:rsidR="00094D94" w:rsidRPr="00AE6026" w14:paraId="2248D9DD" w14:textId="77777777" w:rsidTr="0057631B">
        <w:trPr>
          <w:trHeight w:val="300"/>
        </w:trPr>
        <w:tc>
          <w:tcPr>
            <w:tcW w:w="567" w:type="dxa"/>
            <w:shd w:val="clear" w:color="auto" w:fill="006272"/>
            <w:vAlign w:val="center"/>
          </w:tcPr>
          <w:p w14:paraId="3CC0A1D4" w14:textId="7DEA0A24" w:rsidR="00094D94" w:rsidRDefault="00094D94" w:rsidP="7E1C2007">
            <w:pPr>
              <w:pStyle w:val="Questionnumber"/>
              <w:ind w:left="442" w:hanging="357"/>
            </w:pPr>
            <w:r>
              <w:t>45</w:t>
            </w:r>
          </w:p>
        </w:tc>
        <w:tc>
          <w:tcPr>
            <w:tcW w:w="8502" w:type="dxa"/>
            <w:shd w:val="clear" w:color="auto" w:fill="auto"/>
            <w:vAlign w:val="center"/>
          </w:tcPr>
          <w:p w14:paraId="450D176F" w14:textId="0A2645F4" w:rsidR="00094D94" w:rsidRPr="00094D94" w:rsidRDefault="00094D94" w:rsidP="00094D94">
            <w:pPr>
              <w:rPr>
                <w:lang w:eastAsia="en-US"/>
              </w:rPr>
            </w:pPr>
            <w:r>
              <w:rPr>
                <w:i/>
                <w:iCs/>
              </w:rPr>
              <w:t>Do you think that the CCCFA could be strengthened to protect consumers who are sold lending products or add-ons that exceed the value of the product? If so, how?</w:t>
            </w:r>
          </w:p>
        </w:tc>
      </w:tr>
      <w:tr w:rsidR="00094D94" w:rsidRPr="00AE6026" w14:paraId="5E07ED68" w14:textId="77777777" w:rsidTr="0057631B">
        <w:trPr>
          <w:trHeight w:val="496"/>
        </w:trPr>
        <w:tc>
          <w:tcPr>
            <w:tcW w:w="567" w:type="dxa"/>
            <w:shd w:val="clear" w:color="auto" w:fill="006272"/>
            <w:vAlign w:val="center"/>
          </w:tcPr>
          <w:p w14:paraId="3A8F9206" w14:textId="77777777" w:rsidR="00094D94" w:rsidRDefault="00094D94" w:rsidP="7E1C2007">
            <w:pPr>
              <w:pStyle w:val="Questionnumber"/>
              <w:ind w:left="442" w:hanging="357"/>
            </w:pPr>
          </w:p>
        </w:tc>
        <w:tc>
          <w:tcPr>
            <w:tcW w:w="8502" w:type="dxa"/>
            <w:shd w:val="clear" w:color="auto" w:fill="auto"/>
            <w:vAlign w:val="center"/>
          </w:tcPr>
          <w:p w14:paraId="30E1B5CB" w14:textId="77777777" w:rsidR="00094D94" w:rsidRDefault="00094D94" w:rsidP="00094D94">
            <w:pPr>
              <w:rPr>
                <w:i/>
                <w:iCs/>
              </w:rPr>
            </w:pPr>
          </w:p>
        </w:tc>
      </w:tr>
      <w:tr w:rsidR="00F7095B" w:rsidRPr="00AE6026" w14:paraId="06E10E8B" w14:textId="77777777" w:rsidTr="0057631B">
        <w:trPr>
          <w:trHeight w:val="300"/>
        </w:trPr>
        <w:tc>
          <w:tcPr>
            <w:tcW w:w="567" w:type="dxa"/>
            <w:shd w:val="clear" w:color="auto" w:fill="006272"/>
            <w:vAlign w:val="center"/>
          </w:tcPr>
          <w:p w14:paraId="38A7B6F9" w14:textId="641C62EA" w:rsidR="00F7095B" w:rsidRDefault="002B2061" w:rsidP="7E1C2007">
            <w:pPr>
              <w:pStyle w:val="Questionnumber"/>
              <w:ind w:left="442" w:hanging="357"/>
            </w:pPr>
            <w:r>
              <w:t>4</w:t>
            </w:r>
            <w:r w:rsidR="00094D94">
              <w:t>6</w:t>
            </w:r>
          </w:p>
        </w:tc>
        <w:tc>
          <w:tcPr>
            <w:tcW w:w="8502" w:type="dxa"/>
            <w:shd w:val="clear" w:color="auto" w:fill="auto"/>
            <w:vAlign w:val="center"/>
          </w:tcPr>
          <w:p w14:paraId="152350D7" w14:textId="51F4E21C" w:rsidR="00F7095B" w:rsidRPr="002B2061" w:rsidRDefault="002B2061" w:rsidP="00F7095B">
            <w:pPr>
              <w:pStyle w:val="BodyText"/>
              <w:rPr>
                <w:rFonts w:eastAsia="Calibri" w:cs="Calibri"/>
                <w:i w:val="0"/>
                <w:iCs/>
                <w:color w:val="000000" w:themeColor="text1"/>
              </w:rPr>
            </w:pPr>
            <w:r w:rsidRPr="00943FB7">
              <w:rPr>
                <w:rFonts w:eastAsia="Calibri" w:cs="Calibri"/>
              </w:rPr>
              <w:t>Finally, are there any other areas and options for change that we should consider that have not been addressed in this discussion document?</w:t>
            </w:r>
          </w:p>
        </w:tc>
      </w:tr>
    </w:tbl>
    <w:p w14:paraId="0FFFC3E1" w14:textId="352E3D00" w:rsidR="7E1C2007" w:rsidRDefault="7E1C2007"/>
    <w:p w14:paraId="0C275512" w14:textId="77777777" w:rsidR="002401F1" w:rsidRDefault="002401F1" w:rsidP="002401F1">
      <w:pPr>
        <w:pStyle w:val="Heading3"/>
      </w:pPr>
      <w:r>
        <w:t>Other comments</w:t>
      </w:r>
    </w:p>
    <w:p w14:paraId="5BF758B2" w14:textId="77777777" w:rsidR="002401F1" w:rsidRPr="000636F7" w:rsidRDefault="002401F1" w:rsidP="002401F1"/>
    <w:p w14:paraId="268FDB49" w14:textId="77777777" w:rsidR="00502A49" w:rsidRDefault="00502A49"/>
    <w:sectPr w:rsidR="00502A49" w:rsidSect="00B100EA">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BB3E" w14:textId="77777777" w:rsidR="009378D5" w:rsidRDefault="009378D5">
      <w:r>
        <w:separator/>
      </w:r>
    </w:p>
  </w:endnote>
  <w:endnote w:type="continuationSeparator" w:id="0">
    <w:p w14:paraId="38C0C56D" w14:textId="77777777" w:rsidR="009378D5" w:rsidRDefault="0093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00EB" w14:textId="77777777" w:rsidR="009378D5" w:rsidRDefault="009378D5">
      <w:r>
        <w:separator/>
      </w:r>
    </w:p>
  </w:footnote>
  <w:footnote w:type="continuationSeparator" w:id="0">
    <w:p w14:paraId="0A6C7190" w14:textId="77777777" w:rsidR="009378D5" w:rsidRDefault="00937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DC2E35"/>
    <w:multiLevelType w:val="hybridMultilevel"/>
    <w:tmpl w:val="6436DF36"/>
    <w:lvl w:ilvl="0" w:tplc="CEA2CB8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D6D503"/>
    <w:multiLevelType w:val="hybridMultilevel"/>
    <w:tmpl w:val="3B14B85E"/>
    <w:lvl w:ilvl="0" w:tplc="9B92D00C">
      <w:start w:val="1"/>
      <w:numFmt w:val="decimal"/>
      <w:lvlText w:val="%1."/>
      <w:lvlJc w:val="left"/>
      <w:pPr>
        <w:ind w:left="720" w:hanging="360"/>
      </w:pPr>
    </w:lvl>
    <w:lvl w:ilvl="1" w:tplc="1718662C">
      <w:start w:val="1"/>
      <w:numFmt w:val="lowerLetter"/>
      <w:lvlText w:val="%2."/>
      <w:lvlJc w:val="left"/>
      <w:pPr>
        <w:ind w:left="1440" w:hanging="360"/>
      </w:pPr>
    </w:lvl>
    <w:lvl w:ilvl="2" w:tplc="FB5C8290">
      <w:start w:val="1"/>
      <w:numFmt w:val="lowerRoman"/>
      <w:lvlText w:val="%3."/>
      <w:lvlJc w:val="right"/>
      <w:pPr>
        <w:ind w:left="2160" w:hanging="180"/>
      </w:pPr>
    </w:lvl>
    <w:lvl w:ilvl="3" w:tplc="3932C108">
      <w:start w:val="1"/>
      <w:numFmt w:val="decimal"/>
      <w:lvlText w:val="%4."/>
      <w:lvlJc w:val="left"/>
      <w:pPr>
        <w:ind w:left="2880" w:hanging="360"/>
      </w:pPr>
    </w:lvl>
    <w:lvl w:ilvl="4" w:tplc="FDFE9F2C">
      <w:start w:val="1"/>
      <w:numFmt w:val="lowerLetter"/>
      <w:lvlText w:val="%5."/>
      <w:lvlJc w:val="left"/>
      <w:pPr>
        <w:ind w:left="3600" w:hanging="360"/>
      </w:pPr>
    </w:lvl>
    <w:lvl w:ilvl="5" w:tplc="CB86778C">
      <w:start w:val="1"/>
      <w:numFmt w:val="lowerRoman"/>
      <w:lvlText w:val="%6."/>
      <w:lvlJc w:val="right"/>
      <w:pPr>
        <w:ind w:left="4320" w:hanging="180"/>
      </w:pPr>
    </w:lvl>
    <w:lvl w:ilvl="6" w:tplc="A18E37E8">
      <w:start w:val="1"/>
      <w:numFmt w:val="decimal"/>
      <w:lvlText w:val="%7."/>
      <w:lvlJc w:val="left"/>
      <w:pPr>
        <w:ind w:left="5040" w:hanging="360"/>
      </w:pPr>
    </w:lvl>
    <w:lvl w:ilvl="7" w:tplc="27D808B6">
      <w:start w:val="1"/>
      <w:numFmt w:val="lowerLetter"/>
      <w:lvlText w:val="%8."/>
      <w:lvlJc w:val="left"/>
      <w:pPr>
        <w:ind w:left="5760" w:hanging="360"/>
      </w:pPr>
    </w:lvl>
    <w:lvl w:ilvl="8" w:tplc="787457B6">
      <w:start w:val="1"/>
      <w:numFmt w:val="lowerRoman"/>
      <w:lvlText w:val="%9."/>
      <w:lvlJc w:val="right"/>
      <w:pPr>
        <w:ind w:left="6480" w:hanging="180"/>
      </w:pPr>
    </w:lvl>
  </w:abstractNum>
  <w:abstractNum w:abstractNumId="3" w15:restartNumberingAfterBreak="0">
    <w:nsid w:val="2240383C"/>
    <w:multiLevelType w:val="hybridMultilevel"/>
    <w:tmpl w:val="65BA016A"/>
    <w:lvl w:ilvl="0" w:tplc="A236A282">
      <w:start w:val="1"/>
      <w:numFmt w:val="bullet"/>
      <w:lvlText w:val=""/>
      <w:lvlJc w:val="left"/>
      <w:pPr>
        <w:ind w:left="720" w:hanging="360"/>
      </w:pPr>
      <w:rPr>
        <w:rFonts w:ascii="Symbol" w:hAnsi="Symbol" w:hint="default"/>
      </w:rPr>
    </w:lvl>
    <w:lvl w:ilvl="1" w:tplc="FFCE09F2">
      <w:start w:val="1"/>
      <w:numFmt w:val="bullet"/>
      <w:lvlText w:val=""/>
      <w:lvlJc w:val="left"/>
      <w:pPr>
        <w:ind w:left="1440" w:hanging="360"/>
      </w:pPr>
      <w:rPr>
        <w:rFonts w:ascii="Symbol" w:hAnsi="Symbol" w:hint="default"/>
      </w:rPr>
    </w:lvl>
    <w:lvl w:ilvl="2" w:tplc="045A6C48">
      <w:start w:val="1"/>
      <w:numFmt w:val="bullet"/>
      <w:lvlText w:val=""/>
      <w:lvlJc w:val="left"/>
      <w:pPr>
        <w:ind w:left="2160" w:hanging="360"/>
      </w:pPr>
      <w:rPr>
        <w:rFonts w:ascii="Wingdings" w:hAnsi="Wingdings" w:hint="default"/>
      </w:rPr>
    </w:lvl>
    <w:lvl w:ilvl="3" w:tplc="A3268BE8">
      <w:start w:val="1"/>
      <w:numFmt w:val="bullet"/>
      <w:lvlText w:val=""/>
      <w:lvlJc w:val="left"/>
      <w:pPr>
        <w:ind w:left="2880" w:hanging="360"/>
      </w:pPr>
      <w:rPr>
        <w:rFonts w:ascii="Symbol" w:hAnsi="Symbol" w:hint="default"/>
      </w:rPr>
    </w:lvl>
    <w:lvl w:ilvl="4" w:tplc="D1040D7A">
      <w:start w:val="1"/>
      <w:numFmt w:val="bullet"/>
      <w:lvlText w:val="o"/>
      <w:lvlJc w:val="left"/>
      <w:pPr>
        <w:ind w:left="3600" w:hanging="360"/>
      </w:pPr>
      <w:rPr>
        <w:rFonts w:ascii="Courier New" w:hAnsi="Courier New" w:hint="default"/>
      </w:rPr>
    </w:lvl>
    <w:lvl w:ilvl="5" w:tplc="58402662">
      <w:start w:val="1"/>
      <w:numFmt w:val="bullet"/>
      <w:lvlText w:val=""/>
      <w:lvlJc w:val="left"/>
      <w:pPr>
        <w:ind w:left="4320" w:hanging="360"/>
      </w:pPr>
      <w:rPr>
        <w:rFonts w:ascii="Wingdings" w:hAnsi="Wingdings" w:hint="default"/>
      </w:rPr>
    </w:lvl>
    <w:lvl w:ilvl="6" w:tplc="E74E4B6C">
      <w:start w:val="1"/>
      <w:numFmt w:val="bullet"/>
      <w:lvlText w:val=""/>
      <w:lvlJc w:val="left"/>
      <w:pPr>
        <w:ind w:left="5040" w:hanging="360"/>
      </w:pPr>
      <w:rPr>
        <w:rFonts w:ascii="Symbol" w:hAnsi="Symbol" w:hint="default"/>
      </w:rPr>
    </w:lvl>
    <w:lvl w:ilvl="7" w:tplc="07A80FBC">
      <w:start w:val="1"/>
      <w:numFmt w:val="bullet"/>
      <w:lvlText w:val="o"/>
      <w:lvlJc w:val="left"/>
      <w:pPr>
        <w:ind w:left="5760" w:hanging="360"/>
      </w:pPr>
      <w:rPr>
        <w:rFonts w:ascii="Courier New" w:hAnsi="Courier New" w:hint="default"/>
      </w:rPr>
    </w:lvl>
    <w:lvl w:ilvl="8" w:tplc="FDF06860">
      <w:start w:val="1"/>
      <w:numFmt w:val="bullet"/>
      <w:lvlText w:val=""/>
      <w:lvlJc w:val="left"/>
      <w:pPr>
        <w:ind w:left="6480" w:hanging="360"/>
      </w:pPr>
      <w:rPr>
        <w:rFonts w:ascii="Wingdings" w:hAnsi="Wingdings" w:hint="default"/>
      </w:rPr>
    </w:lvl>
  </w:abstractNum>
  <w:abstractNum w:abstractNumId="4" w15:restartNumberingAfterBreak="0">
    <w:nsid w:val="3D2857DE"/>
    <w:multiLevelType w:val="hybridMultilevel"/>
    <w:tmpl w:val="2AEE5EB2"/>
    <w:lvl w:ilvl="0" w:tplc="F942048E">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856CC4"/>
    <w:multiLevelType w:val="hybridMultilevel"/>
    <w:tmpl w:val="964C7EC2"/>
    <w:lvl w:ilvl="0" w:tplc="14090015">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161670F"/>
    <w:multiLevelType w:val="hybridMultilevel"/>
    <w:tmpl w:val="46382F02"/>
    <w:lvl w:ilvl="0" w:tplc="FFFFFFFF">
      <w:start w:val="1"/>
      <w:numFmt w:val="decimal"/>
      <w:lvlText w:val="%1"/>
      <w:lvlJc w:val="left"/>
      <w:pPr>
        <w:ind w:left="78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15:restartNumberingAfterBreak="0">
    <w:nsid w:val="57CB5A57"/>
    <w:multiLevelType w:val="hybridMultilevel"/>
    <w:tmpl w:val="A1220464"/>
    <w:lvl w:ilvl="0" w:tplc="BBF6492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0391036"/>
    <w:multiLevelType w:val="hybridMultilevel"/>
    <w:tmpl w:val="F8243222"/>
    <w:lvl w:ilvl="0" w:tplc="FFFFFFFF">
      <w:start w:val="1"/>
      <w:numFmt w:val="decimal"/>
      <w:pStyle w:val="Numbered"/>
      <w:lvlText w:val="%1."/>
      <w:lvlJc w:val="left"/>
      <w:pPr>
        <w:ind w:left="0" w:firstLine="142"/>
      </w:pPr>
      <w:rPr>
        <w:b w:val="0"/>
        <w:bCs w:val="0"/>
        <w:i w:val="0"/>
        <w:iCs w:val="0"/>
        <w: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14090001">
      <w:start w:val="1"/>
      <w:numFmt w:val="bullet"/>
      <w:lvlText w:val=""/>
      <w:lvlJc w:val="left"/>
      <w:pPr>
        <w:ind w:left="1364" w:hanging="360"/>
      </w:pPr>
      <w:rPr>
        <w:rFonts w:ascii="Symbol" w:hAnsi="Symbol" w:hint="default"/>
      </w:rPr>
    </w:lvl>
    <w:lvl w:ilvl="2" w:tplc="F648C85A">
      <w:start w:val="1"/>
      <w:numFmt w:val="lowerRoman"/>
      <w:lvlText w:val="%3."/>
      <w:lvlJc w:val="right"/>
      <w:pPr>
        <w:ind w:left="2084" w:hanging="180"/>
      </w:pPr>
    </w:lvl>
    <w:lvl w:ilvl="3" w:tplc="C8CE0968">
      <w:start w:val="1"/>
      <w:numFmt w:val="decimal"/>
      <w:lvlText w:val="%4."/>
      <w:lvlJc w:val="left"/>
      <w:pPr>
        <w:ind w:left="2804" w:hanging="360"/>
      </w:pPr>
    </w:lvl>
    <w:lvl w:ilvl="4" w:tplc="1C962420">
      <w:start w:val="1"/>
      <w:numFmt w:val="lowerLetter"/>
      <w:lvlText w:val="%5."/>
      <w:lvlJc w:val="left"/>
      <w:pPr>
        <w:ind w:left="3524" w:hanging="360"/>
      </w:pPr>
    </w:lvl>
    <w:lvl w:ilvl="5" w:tplc="260CEFB8">
      <w:start w:val="1"/>
      <w:numFmt w:val="lowerRoman"/>
      <w:lvlText w:val="%6."/>
      <w:lvlJc w:val="right"/>
      <w:pPr>
        <w:ind w:left="4244" w:hanging="180"/>
      </w:pPr>
    </w:lvl>
    <w:lvl w:ilvl="6" w:tplc="26725FB4">
      <w:start w:val="1"/>
      <w:numFmt w:val="decimal"/>
      <w:lvlText w:val="%7."/>
      <w:lvlJc w:val="left"/>
      <w:pPr>
        <w:ind w:left="4964" w:hanging="360"/>
      </w:pPr>
    </w:lvl>
    <w:lvl w:ilvl="7" w:tplc="F2DEDD66">
      <w:start w:val="1"/>
      <w:numFmt w:val="lowerLetter"/>
      <w:lvlText w:val="%8."/>
      <w:lvlJc w:val="left"/>
      <w:pPr>
        <w:ind w:left="5684" w:hanging="360"/>
      </w:pPr>
    </w:lvl>
    <w:lvl w:ilvl="8" w:tplc="1A6C0E54">
      <w:start w:val="1"/>
      <w:numFmt w:val="lowerRoman"/>
      <w:lvlText w:val="%9."/>
      <w:lvlJc w:val="right"/>
      <w:pPr>
        <w:ind w:left="6404" w:hanging="180"/>
      </w:pPr>
    </w:lvl>
  </w:abstractNum>
  <w:abstractNum w:abstractNumId="10"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16cid:durableId="337777038">
    <w:abstractNumId w:val="10"/>
  </w:num>
  <w:num w:numId="2" w16cid:durableId="544021729">
    <w:abstractNumId w:val="6"/>
  </w:num>
  <w:num w:numId="3" w16cid:durableId="211159681">
    <w:abstractNumId w:val="7"/>
  </w:num>
  <w:num w:numId="4" w16cid:durableId="1843347699">
    <w:abstractNumId w:val="2"/>
  </w:num>
  <w:num w:numId="5" w16cid:durableId="1464273783">
    <w:abstractNumId w:val="3"/>
  </w:num>
  <w:num w:numId="6" w16cid:durableId="114636963">
    <w:abstractNumId w:val="9"/>
  </w:num>
  <w:num w:numId="7" w16cid:durableId="501701290">
    <w:abstractNumId w:val="0"/>
  </w:num>
  <w:num w:numId="8" w16cid:durableId="1755278442">
    <w:abstractNumId w:val="1"/>
  </w:num>
  <w:num w:numId="9" w16cid:durableId="97408941">
    <w:abstractNumId w:val="8"/>
  </w:num>
  <w:num w:numId="10" w16cid:durableId="1495297332">
    <w:abstractNumId w:val="10"/>
  </w:num>
  <w:num w:numId="11" w16cid:durableId="157818224">
    <w:abstractNumId w:val="4"/>
  </w:num>
  <w:num w:numId="12" w16cid:durableId="145767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F1"/>
    <w:rsid w:val="0007499F"/>
    <w:rsid w:val="00094D94"/>
    <w:rsid w:val="000A3F1B"/>
    <w:rsid w:val="000B317F"/>
    <w:rsid w:val="000B478E"/>
    <w:rsid w:val="000C2904"/>
    <w:rsid w:val="000C48D3"/>
    <w:rsid w:val="000E0B39"/>
    <w:rsid w:val="000E7F33"/>
    <w:rsid w:val="00103563"/>
    <w:rsid w:val="00103EF9"/>
    <w:rsid w:val="00106A0A"/>
    <w:rsid w:val="00107220"/>
    <w:rsid w:val="00132F5F"/>
    <w:rsid w:val="00172426"/>
    <w:rsid w:val="001F2940"/>
    <w:rsid w:val="00223E2F"/>
    <w:rsid w:val="002401F1"/>
    <w:rsid w:val="002734FF"/>
    <w:rsid w:val="00274930"/>
    <w:rsid w:val="002B2061"/>
    <w:rsid w:val="002C1398"/>
    <w:rsid w:val="002E4A88"/>
    <w:rsid w:val="00312754"/>
    <w:rsid w:val="00332E21"/>
    <w:rsid w:val="003466B0"/>
    <w:rsid w:val="00361608"/>
    <w:rsid w:val="00364003"/>
    <w:rsid w:val="003658E0"/>
    <w:rsid w:val="00381BF1"/>
    <w:rsid w:val="003856FE"/>
    <w:rsid w:val="003A17BC"/>
    <w:rsid w:val="003B3FF8"/>
    <w:rsid w:val="003E38DB"/>
    <w:rsid w:val="003F38A7"/>
    <w:rsid w:val="00415D75"/>
    <w:rsid w:val="0043538F"/>
    <w:rsid w:val="0044601F"/>
    <w:rsid w:val="00494322"/>
    <w:rsid w:val="004A71B8"/>
    <w:rsid w:val="004B08C6"/>
    <w:rsid w:val="004C49CE"/>
    <w:rsid w:val="004F33B8"/>
    <w:rsid w:val="004F74DB"/>
    <w:rsid w:val="00502A49"/>
    <w:rsid w:val="0057631B"/>
    <w:rsid w:val="00576A47"/>
    <w:rsid w:val="005B115B"/>
    <w:rsid w:val="005D2948"/>
    <w:rsid w:val="005E0EC8"/>
    <w:rsid w:val="005E297C"/>
    <w:rsid w:val="00635A37"/>
    <w:rsid w:val="006631C2"/>
    <w:rsid w:val="0067432B"/>
    <w:rsid w:val="006A30CF"/>
    <w:rsid w:val="006A4988"/>
    <w:rsid w:val="006B4355"/>
    <w:rsid w:val="006F3D6B"/>
    <w:rsid w:val="006F5A7B"/>
    <w:rsid w:val="00722D6E"/>
    <w:rsid w:val="00740B10"/>
    <w:rsid w:val="0076790E"/>
    <w:rsid w:val="007B2678"/>
    <w:rsid w:val="007E188C"/>
    <w:rsid w:val="007E4F69"/>
    <w:rsid w:val="0080180E"/>
    <w:rsid w:val="00802821"/>
    <w:rsid w:val="008144C4"/>
    <w:rsid w:val="00816DE9"/>
    <w:rsid w:val="008357FA"/>
    <w:rsid w:val="00837EC2"/>
    <w:rsid w:val="00843D01"/>
    <w:rsid w:val="008515FC"/>
    <w:rsid w:val="008569B9"/>
    <w:rsid w:val="008601D1"/>
    <w:rsid w:val="0086780D"/>
    <w:rsid w:val="008836DD"/>
    <w:rsid w:val="008A2859"/>
    <w:rsid w:val="008B2448"/>
    <w:rsid w:val="008E22C0"/>
    <w:rsid w:val="00924C2F"/>
    <w:rsid w:val="009378D5"/>
    <w:rsid w:val="0097434C"/>
    <w:rsid w:val="00982CFE"/>
    <w:rsid w:val="0099077A"/>
    <w:rsid w:val="0099436D"/>
    <w:rsid w:val="009968C3"/>
    <w:rsid w:val="009A6D6D"/>
    <w:rsid w:val="00A0039B"/>
    <w:rsid w:val="00A74998"/>
    <w:rsid w:val="00A9124F"/>
    <w:rsid w:val="00AA285E"/>
    <w:rsid w:val="00AB248E"/>
    <w:rsid w:val="00AB7DD0"/>
    <w:rsid w:val="00AD6A37"/>
    <w:rsid w:val="00AE2535"/>
    <w:rsid w:val="00B03A7F"/>
    <w:rsid w:val="00B6079B"/>
    <w:rsid w:val="00B65417"/>
    <w:rsid w:val="00B825D9"/>
    <w:rsid w:val="00B9193F"/>
    <w:rsid w:val="00B91AA0"/>
    <w:rsid w:val="00BA5665"/>
    <w:rsid w:val="00BA681D"/>
    <w:rsid w:val="00BC3827"/>
    <w:rsid w:val="00C05553"/>
    <w:rsid w:val="00C47AED"/>
    <w:rsid w:val="00C5684C"/>
    <w:rsid w:val="00C775E7"/>
    <w:rsid w:val="00C8030F"/>
    <w:rsid w:val="00C82AB9"/>
    <w:rsid w:val="00C855D7"/>
    <w:rsid w:val="00C86F75"/>
    <w:rsid w:val="00C92451"/>
    <w:rsid w:val="00CA133E"/>
    <w:rsid w:val="00CC0336"/>
    <w:rsid w:val="00CC3161"/>
    <w:rsid w:val="00CD2C50"/>
    <w:rsid w:val="00CD4461"/>
    <w:rsid w:val="00D1440B"/>
    <w:rsid w:val="00D2600A"/>
    <w:rsid w:val="00D36036"/>
    <w:rsid w:val="00D55B01"/>
    <w:rsid w:val="00D67DE2"/>
    <w:rsid w:val="00DA193A"/>
    <w:rsid w:val="00DB0C38"/>
    <w:rsid w:val="00DF0A68"/>
    <w:rsid w:val="00E30FAA"/>
    <w:rsid w:val="00E704DE"/>
    <w:rsid w:val="00E71F63"/>
    <w:rsid w:val="00E8750C"/>
    <w:rsid w:val="00EC5DAF"/>
    <w:rsid w:val="00EF7AF5"/>
    <w:rsid w:val="00F037FB"/>
    <w:rsid w:val="00F200ED"/>
    <w:rsid w:val="00F428FC"/>
    <w:rsid w:val="00F65A4B"/>
    <w:rsid w:val="00F7095B"/>
    <w:rsid w:val="00FC4A4F"/>
    <w:rsid w:val="00FD5713"/>
    <w:rsid w:val="00FF27B6"/>
    <w:rsid w:val="3DCD9B46"/>
    <w:rsid w:val="7E1C20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86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C3"/>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2401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2401F1"/>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2401F1"/>
    <w:pPr>
      <w:spacing w:before="360" w:after="200"/>
      <w:outlineLvl w:val="2"/>
    </w:pPr>
    <w:rPr>
      <w:b/>
      <w:color w:val="006272"/>
      <w:sz w:val="30"/>
    </w:rPr>
  </w:style>
  <w:style w:type="paragraph" w:styleId="Heading4">
    <w:name w:val="heading 4"/>
    <w:basedOn w:val="Normal"/>
    <w:next w:val="Normal"/>
    <w:link w:val="Heading4Char"/>
    <w:uiPriority w:val="9"/>
    <w:semiHidden/>
    <w:unhideWhenUsed/>
    <w:qFormat/>
    <w:rsid w:val="00B91A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1F1"/>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2401F1"/>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2401F1"/>
    <w:pPr>
      <w:numPr>
        <w:numId w:val="1"/>
      </w:numPr>
      <w:spacing w:before="120" w:after="120" w:line="270" w:lineRule="exact"/>
    </w:pPr>
  </w:style>
  <w:style w:type="character" w:customStyle="1" w:styleId="BodyText-NumberedChar">
    <w:name w:val="Body Text - Numbered Char"/>
    <w:link w:val="BodyText-Numbered"/>
    <w:rsid w:val="002401F1"/>
    <w:rPr>
      <w:rFonts w:ascii="Calibri" w:eastAsia="Times New Roman" w:hAnsi="Calibri" w:cs="Times New Roman"/>
      <w:lang w:eastAsia="ko-KR"/>
    </w:rPr>
  </w:style>
  <w:style w:type="paragraph" w:customStyle="1" w:styleId="LineTeal">
    <w:name w:val="Line Teal"/>
    <w:next w:val="BodyText"/>
    <w:uiPriority w:val="11"/>
    <w:rsid w:val="002401F1"/>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3466B0"/>
    <w:pPr>
      <w:spacing w:before="120" w:after="120"/>
    </w:pPr>
    <w:rPr>
      <w:i/>
    </w:rPr>
  </w:style>
  <w:style w:type="character" w:customStyle="1" w:styleId="BodyTextChar">
    <w:name w:val="Body Text Char"/>
    <w:basedOn w:val="DefaultParagraphFont"/>
    <w:link w:val="BodyText"/>
    <w:rsid w:val="003466B0"/>
    <w:rPr>
      <w:rFonts w:ascii="Calibri" w:eastAsia="Times New Roman" w:hAnsi="Calibri" w:cs="Times New Roman"/>
      <w:i/>
      <w:lang w:eastAsia="ko-KR"/>
    </w:rPr>
  </w:style>
  <w:style w:type="character" w:styleId="Hyperlink">
    <w:name w:val="Hyperlink"/>
    <w:uiPriority w:val="99"/>
    <w:unhideWhenUsed/>
    <w:qFormat/>
    <w:rsid w:val="002401F1"/>
    <w:rPr>
      <w:rFonts w:ascii="Calibri" w:hAnsi="Calibri"/>
      <w:b/>
      <w:i/>
      <w:color w:val="006272"/>
      <w:u w:val="single"/>
    </w:rPr>
  </w:style>
  <w:style w:type="paragraph" w:customStyle="1" w:styleId="Question">
    <w:name w:val="Question"/>
    <w:basedOn w:val="Normal"/>
    <w:qFormat/>
    <w:rsid w:val="002401F1"/>
    <w:pPr>
      <w:spacing w:before="120" w:after="120"/>
    </w:pPr>
    <w:rPr>
      <w:rFonts w:eastAsia="Calibri"/>
      <w:lang w:eastAsia="en-US"/>
    </w:rPr>
  </w:style>
  <w:style w:type="paragraph" w:styleId="ListParagraph">
    <w:name w:val="List Paragraph"/>
    <w:basedOn w:val="Normal"/>
    <w:link w:val="ListParagraphChar"/>
    <w:uiPriority w:val="34"/>
    <w:rsid w:val="002401F1"/>
    <w:pPr>
      <w:ind w:left="720"/>
      <w:contextualSpacing/>
    </w:pPr>
  </w:style>
  <w:style w:type="paragraph" w:customStyle="1" w:styleId="Questionnumber">
    <w:name w:val="Question number"/>
    <w:basedOn w:val="Normal"/>
    <w:link w:val="QuestionnumberChar"/>
    <w:qFormat/>
    <w:rsid w:val="0080180E"/>
    <w:pPr>
      <w:jc w:val="center"/>
    </w:pPr>
    <w:rPr>
      <w:rFonts w:eastAsia="Calibri"/>
      <w:b/>
      <w:color w:val="FFFFFF"/>
      <w:lang w:eastAsia="en-US"/>
    </w:rPr>
  </w:style>
  <w:style w:type="character" w:customStyle="1" w:styleId="QuestionnumberChar">
    <w:name w:val="Question number Char"/>
    <w:link w:val="Questionnumber"/>
    <w:rsid w:val="0080180E"/>
    <w:rPr>
      <w:rFonts w:ascii="Calibri" w:eastAsia="Calibri" w:hAnsi="Calibri" w:cs="Times New Roman"/>
      <w:b/>
      <w:color w:val="FFFFFF"/>
    </w:rPr>
  </w:style>
  <w:style w:type="character" w:customStyle="1" w:styleId="ListParagraphChar">
    <w:name w:val="List Paragraph Char"/>
    <w:link w:val="ListParagraph"/>
    <w:uiPriority w:val="34"/>
    <w:rsid w:val="002401F1"/>
    <w:rPr>
      <w:rFonts w:ascii="Calibri" w:eastAsia="Times New Roman" w:hAnsi="Calibri" w:cs="Times New Roman"/>
      <w:lang w:eastAsia="ko-KR"/>
    </w:rPr>
  </w:style>
  <w:style w:type="paragraph" w:customStyle="1" w:styleId="BodyText-Bullets">
    <w:name w:val="Body Text - Bullets"/>
    <w:basedOn w:val="Normal"/>
    <w:link w:val="BodyText-BulletsChar"/>
    <w:qFormat/>
    <w:rsid w:val="002401F1"/>
    <w:pPr>
      <w:numPr>
        <w:numId w:val="3"/>
      </w:numPr>
      <w:spacing w:before="120" w:after="120"/>
    </w:pPr>
  </w:style>
  <w:style w:type="character" w:customStyle="1" w:styleId="BodyText-BulletsChar">
    <w:name w:val="Body Text - Bullets Char"/>
    <w:link w:val="BodyText-Bullets"/>
    <w:rsid w:val="002401F1"/>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2401F1"/>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2401F1"/>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2401F1"/>
    <w:rPr>
      <w:rFonts w:asciiTheme="majorHAnsi" w:eastAsiaTheme="majorEastAsia" w:hAnsiTheme="majorHAnsi" w:cstheme="majorBidi"/>
      <w:color w:val="2F5496" w:themeColor="accent1" w:themeShade="BF"/>
      <w:sz w:val="32"/>
      <w:szCs w:val="32"/>
      <w:lang w:eastAsia="ko-KR"/>
    </w:rPr>
  </w:style>
  <w:style w:type="character" w:styleId="CommentReference">
    <w:name w:val="annotation reference"/>
    <w:basedOn w:val="DefaultParagraphFont"/>
    <w:uiPriority w:val="99"/>
    <w:semiHidden/>
    <w:unhideWhenUsed/>
    <w:rsid w:val="005E0EC8"/>
    <w:rPr>
      <w:sz w:val="16"/>
      <w:szCs w:val="16"/>
    </w:rPr>
  </w:style>
  <w:style w:type="paragraph" w:styleId="CommentText">
    <w:name w:val="annotation text"/>
    <w:basedOn w:val="Normal"/>
    <w:link w:val="CommentTextChar"/>
    <w:uiPriority w:val="99"/>
    <w:unhideWhenUsed/>
    <w:rsid w:val="005E0EC8"/>
    <w:rPr>
      <w:sz w:val="20"/>
      <w:szCs w:val="20"/>
    </w:rPr>
  </w:style>
  <w:style w:type="character" w:customStyle="1" w:styleId="CommentTextChar">
    <w:name w:val="Comment Text Char"/>
    <w:basedOn w:val="DefaultParagraphFont"/>
    <w:link w:val="CommentText"/>
    <w:uiPriority w:val="99"/>
    <w:rsid w:val="005E0EC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basedOn w:val="CommentTextChar"/>
    <w:link w:val="CommentSubject"/>
    <w:uiPriority w:val="99"/>
    <w:semiHidden/>
    <w:rsid w:val="005E0EC8"/>
    <w:rPr>
      <w:rFonts w:ascii="Calibri" w:eastAsia="Times New Roman" w:hAnsi="Calibri" w:cs="Times New Roman"/>
      <w:b/>
      <w:bCs/>
      <w:sz w:val="20"/>
      <w:szCs w:val="20"/>
      <w:lang w:eastAsia="ko-KR"/>
    </w:rPr>
  </w:style>
  <w:style w:type="table" w:styleId="TableGrid">
    <w:name w:val="Table Grid"/>
    <w:basedOn w:val="TableNormal"/>
    <w:uiPriority w:val="39"/>
    <w:rsid w:val="0083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EC2"/>
    <w:pPr>
      <w:spacing w:after="0" w:line="240" w:lineRule="auto"/>
    </w:pPr>
    <w:rPr>
      <w:rFonts w:ascii="Calibri" w:eastAsia="Times New Roman" w:hAnsi="Calibri" w:cs="Times New Roman"/>
      <w:lang w:eastAsia="ko-KR"/>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6F5A7B"/>
    <w:rPr>
      <w:vertAlign w:val="superscript"/>
    </w:rPr>
  </w:style>
  <w:style w:type="paragraph" w:styleId="FootnoteText">
    <w:name w:val="footnote text"/>
    <w:basedOn w:val="Normal"/>
    <w:link w:val="FootnoteTextChar"/>
    <w:uiPriority w:val="99"/>
    <w:semiHidden/>
    <w:unhideWhenUsed/>
    <w:rsid w:val="006F5A7B"/>
    <w:rPr>
      <w:sz w:val="20"/>
      <w:szCs w:val="20"/>
    </w:rPr>
  </w:style>
  <w:style w:type="character" w:customStyle="1" w:styleId="FootnoteTextChar">
    <w:name w:val="Footnote Text Char"/>
    <w:basedOn w:val="DefaultParagraphFont"/>
    <w:link w:val="FootnoteText"/>
    <w:uiPriority w:val="99"/>
    <w:semiHidden/>
    <w:rsid w:val="006F5A7B"/>
    <w:rPr>
      <w:rFonts w:ascii="Calibri" w:eastAsia="Times New Roman" w:hAnsi="Calibri" w:cs="Times New Roman"/>
      <w:sz w:val="20"/>
      <w:szCs w:val="20"/>
      <w:lang w:eastAsia="ko-KR"/>
    </w:rPr>
  </w:style>
  <w:style w:type="character" w:customStyle="1" w:styleId="ui-provider">
    <w:name w:val="ui-provider"/>
    <w:basedOn w:val="DefaultParagraphFont"/>
    <w:rsid w:val="003466B0"/>
  </w:style>
  <w:style w:type="paragraph" w:customStyle="1" w:styleId="Numbered">
    <w:name w:val="Numbered"/>
    <w:basedOn w:val="Normal"/>
    <w:link w:val="NumberedChar"/>
    <w:qFormat/>
    <w:rsid w:val="00AB7DD0"/>
    <w:pPr>
      <w:numPr>
        <w:numId w:val="6"/>
      </w:numPr>
      <w:spacing w:after="120" w:line="276" w:lineRule="auto"/>
    </w:pPr>
    <w:rPr>
      <w:rFonts w:asciiTheme="minorHAnsi" w:eastAsiaTheme="minorEastAsia" w:hAnsiTheme="minorHAnsi" w:cstheme="minorBidi"/>
    </w:rPr>
  </w:style>
  <w:style w:type="character" w:customStyle="1" w:styleId="NumberedChar">
    <w:name w:val="Numbered Char"/>
    <w:basedOn w:val="DefaultParagraphFont"/>
    <w:link w:val="Numbered"/>
    <w:rsid w:val="00AB7DD0"/>
    <w:rPr>
      <w:rFonts w:eastAsiaTheme="minorEastAsia"/>
      <w:lang w:eastAsia="ko-KR"/>
    </w:rPr>
  </w:style>
  <w:style w:type="character" w:customStyle="1" w:styleId="Heading4Char">
    <w:name w:val="Heading 4 Char"/>
    <w:basedOn w:val="DefaultParagraphFont"/>
    <w:link w:val="Heading4"/>
    <w:uiPriority w:val="9"/>
    <w:semiHidden/>
    <w:rsid w:val="00B91AA0"/>
    <w:rPr>
      <w:rFonts w:asciiTheme="majorHAnsi" w:eastAsiaTheme="majorEastAsia" w:hAnsiTheme="majorHAnsi" w:cstheme="majorBidi"/>
      <w:i/>
      <w:iCs/>
      <w:color w:val="2F5496" w:themeColor="accent1" w:themeShade="BF"/>
      <w:lang w:eastAsia="ko-KR"/>
    </w:rPr>
  </w:style>
  <w:style w:type="character" w:styleId="UnresolvedMention">
    <w:name w:val="Unresolved Mention"/>
    <w:basedOn w:val="DefaultParagraphFont"/>
    <w:uiPriority w:val="99"/>
    <w:semiHidden/>
    <w:unhideWhenUsed/>
    <w:rsid w:val="000A3F1B"/>
    <w:rPr>
      <w:color w:val="605E5C"/>
      <w:shd w:val="clear" w:color="auto" w:fill="E1DFDD"/>
    </w:rPr>
  </w:style>
  <w:style w:type="paragraph" w:styleId="Header">
    <w:name w:val="header"/>
    <w:basedOn w:val="Normal"/>
    <w:link w:val="HeaderChar"/>
    <w:uiPriority w:val="99"/>
    <w:unhideWhenUsed/>
    <w:rsid w:val="00F65A4B"/>
    <w:pPr>
      <w:tabs>
        <w:tab w:val="center" w:pos="4513"/>
        <w:tab w:val="right" w:pos="9026"/>
      </w:tabs>
    </w:pPr>
  </w:style>
  <w:style w:type="character" w:customStyle="1" w:styleId="HeaderChar">
    <w:name w:val="Header Char"/>
    <w:basedOn w:val="DefaultParagraphFont"/>
    <w:link w:val="Header"/>
    <w:uiPriority w:val="99"/>
    <w:rsid w:val="00F65A4B"/>
    <w:rPr>
      <w:rFonts w:ascii="Calibri" w:eastAsia="Times New Roman" w:hAnsi="Calibri" w:cs="Times New Roman"/>
      <w:lang w:eastAsia="ko-KR"/>
    </w:rPr>
  </w:style>
  <w:style w:type="paragraph" w:styleId="Footer">
    <w:name w:val="footer"/>
    <w:basedOn w:val="Normal"/>
    <w:link w:val="FooterChar"/>
    <w:uiPriority w:val="99"/>
    <w:unhideWhenUsed/>
    <w:rsid w:val="00F65A4B"/>
    <w:pPr>
      <w:tabs>
        <w:tab w:val="center" w:pos="4513"/>
        <w:tab w:val="right" w:pos="9026"/>
      </w:tabs>
    </w:pPr>
  </w:style>
  <w:style w:type="character" w:customStyle="1" w:styleId="FooterChar">
    <w:name w:val="Footer Char"/>
    <w:basedOn w:val="DefaultParagraphFont"/>
    <w:link w:val="Footer"/>
    <w:uiPriority w:val="99"/>
    <w:rsid w:val="00F65A4B"/>
    <w:rPr>
      <w:rFonts w:ascii="Calibri" w:eastAsia="Times New Roman"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59F3-E48E-40DD-9FC2-0C9B98D3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2024-06-16T22:30:00Z</dcterms:created>
  <dcterms:modified xsi:type="dcterms:W3CDTF">2024-06-16T22:30:00Z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2024-06-16T22:30:54Z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6cb66fcc-84dc-416f-9ff3-09310d5107f5</vt:lpwstr>
  </property>
  <property fmtid="{D5CDD505-2E9C-101B-9397-08002B2CF9AE}" pid="8" name="MSIP_Label_ffa2ea8f-33a2-4d89-bc10-4ca73b1a3f73_ContentBits">
    <vt:lpwstr>0</vt:lpwstr>
  </property>
</Properties>
</file>